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du wp14">
  <w:body>
    <w:p w:rsidR="00DB5B90" w:rsidRDefault="007D523C" w14:paraId="53926AA8" w14:textId="77777777">
      <w:pPr>
        <w:pStyle w:val="BodyText"/>
        <w:rPr>
          <w:rFonts w:ascii="Times New Roman"/>
          <w:sz w:val="20"/>
        </w:rPr>
      </w:pPr>
      <w:r>
        <w:rPr>
          <w:rFonts w:ascii="Times New Roman"/>
          <w:noProof/>
          <w:sz w:val="20"/>
        </w:rPr>
        <mc:AlternateContent>
          <mc:Choice Requires="wps">
            <w:drawing>
              <wp:anchor distT="0" distB="0" distL="0" distR="0" simplePos="0" relativeHeight="3" behindDoc="0" locked="0" layoutInCell="1" allowOverlap="1" wp14:anchorId="53926B27" wp14:editId="53926B28">
                <wp:simplePos x="0" y="0"/>
                <wp:positionH relativeFrom="column">
                  <wp:posOffset>4669971</wp:posOffset>
                </wp:positionH>
                <wp:positionV relativeFrom="paragraph">
                  <wp:posOffset>-631371</wp:posOffset>
                </wp:positionV>
                <wp:extent cx="1665515" cy="1556657"/>
                <wp:effectExtent l="0" t="0" r="0" b="0"/>
                <wp:wrapNone/>
                <wp:docPr id="20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65515" cy="1556657"/>
                        </a:xfrm>
                        <a:prstGeom prst="rect">
                          <a:avLst/>
                        </a:prstGeom>
                        <a:solidFill>
                          <a:srgbClr val="FFFFFF"/>
                        </a:solidFill>
                        <a:ln>
                          <a:noFill/>
                        </a:ln>
                      </wps:spPr>
                      <wps:txbx>
                        <w:txbxContent>
                          <w:p w:rsidR="00DB5B90" w:rsidRDefault="007D523C" w14:paraId="53926B2D" w14:textId="77777777">
                            <w:r>
                              <w:rPr>
                                <w:noProof/>
                              </w:rPr>
                              <w:drawing>
                                <wp:inline distT="0" distB="0" distL="0" distR="0" wp14:anchorId="53926B2E" wp14:editId="53926B2F">
                                  <wp:extent cx="1475740" cy="1388110"/>
                                  <wp:effectExtent l="0" t="0" r="0" b="0"/>
                                  <wp:docPr id="2051"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49" name="Picture 3"/>
                                          <pic:cNvPicPr/>
                                        </pic:nvPicPr>
                                        <pic:blipFill>
                                          <a:blip r:embed="rId7"/>
                                          <a:srcRect/>
                                          <a:stretch>
                                            <a:fillRect/>
                                          </a:stretch>
                                        </pic:blipFill>
                                        <pic:spPr>
                                          <a:xfrm>
                                            <a:off x="0" y="0"/>
                                            <a:ext cx="1475740" cy="1388110"/>
                                          </a:xfrm>
                                          <a:prstGeom prst="rect">
                                            <a:avLst/>
                                          </a:prstGeom>
                                        </pic:spPr>
                                      </pic:pic>
                                    </a:graphicData>
                                  </a:graphic>
                                </wp:inline>
                              </w:drawing>
                            </w:r>
                          </w:p>
                        </w:txbxContent>
                      </wps:txbx>
                      <wps:bodyPr vert="horz" wrap="square" lIns="91440" tIns="45720" rIns="91440" bIns="45720" anchor="t">
                        <a:prstTxWarp prst="textNoShape">
                          <a:avLst/>
                        </a:prstTxWarp>
                        <a:noAutofit/>
                      </wps:bodyPr>
                    </wps:wsp>
                  </a:graphicData>
                </a:graphic>
              </wp:anchor>
            </w:drawing>
          </mc:Choice>
          <mc:Fallback>
            <w:pict w14:anchorId="769E775C">
              <v:rect id="Text Box 2" style="position:absolute;margin-left:367.7pt;margin-top:-49.7pt;width:131.15pt;height:122.55pt;z-index:3;visibility:visible;mso-wrap-style:square;mso-wrap-distance-left:0;mso-wrap-distance-top:0;mso-wrap-distance-right:0;mso-wrap-distance-bottom:0;mso-position-horizontal:absolute;mso-position-horizontal-relative:text;mso-position-vertical:absolute;mso-position-vertical-relative:text;v-text-anchor:top" o:spid="_x0000_s1026" stroked="f" w14:anchorId="53926B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">
                <v:textbox>
                  <w:txbxContent>
                    <w:p w:rsidR="00DB5B90" w:rsidRDefault="007D523C" w14:paraId="672A6659" w14:textId="77777777">
                      <w:r>
                        <w:rPr>
                          <w:noProof/>
                        </w:rPr>
                        <w:drawing>
                          <wp:inline distT="0" distB="0" distL="0" distR="0" wp14:anchorId="6DFD6C40" wp14:editId="53926B2F">
                            <wp:extent cx="1475740" cy="1388110"/>
                            <wp:effectExtent l="0" t="0" r="0" b="0"/>
                            <wp:docPr id="1373358757"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49" name="Picture 3"/>
                                    <pic:cNvPicPr/>
                                  </pic:nvPicPr>
                                  <pic:blipFill>
                                    <a:blip r:embed="rId7"/>
                                    <a:srcRect/>
                                    <a:stretch>
                                      <a:fillRect/>
                                    </a:stretch>
                                  </pic:blipFill>
                                  <pic:spPr>
                                    <a:xfrm>
                                      <a:off x="0" y="0"/>
                                      <a:ext cx="1475740" cy="1388110"/>
                                    </a:xfrm>
                                    <a:prstGeom prst="rect">
                                      <a:avLst/>
                                    </a:prstGeom>
                                  </pic:spPr>
                                </pic:pic>
                              </a:graphicData>
                            </a:graphic>
                          </wp:inline>
                        </w:drawing>
                      </w:r>
                    </w:p>
                  </w:txbxContent>
                </v:textbox>
              </v:rect>
            </w:pict>
          </mc:Fallback>
        </mc:AlternateContent>
      </w:r>
    </w:p>
    <w:p w:rsidR="00DB5B90" w:rsidRDefault="00DB5B90" w14:paraId="53926AA9" w14:textId="77777777">
      <w:pPr>
        <w:pStyle w:val="BodyText"/>
        <w:rPr>
          <w:rFonts w:ascii="Times New Roman"/>
          <w:sz w:val="20"/>
        </w:rPr>
      </w:pPr>
    </w:p>
    <w:p w:rsidR="00DB5B90" w:rsidRDefault="00DB5B90" w14:paraId="53926AAA" w14:textId="77777777">
      <w:pPr>
        <w:pStyle w:val="BodyText"/>
        <w:spacing w:before="4" w:after="1"/>
        <w:jc w:val="right"/>
        <w:rPr>
          <w:rFonts w:ascii="Times New Roman"/>
          <w:sz w:val="13"/>
        </w:rPr>
      </w:pPr>
    </w:p>
    <w:p w:rsidR="00DB5B90" w:rsidRDefault="00DB5B90" w14:paraId="53926AAB" w14:textId="77777777">
      <w:pPr>
        <w:pStyle w:val="BodyText"/>
        <w:ind w:left="8425"/>
        <w:rPr>
          <w:rFonts w:ascii="Times New Roman"/>
          <w:sz w:val="20"/>
        </w:rPr>
      </w:pPr>
    </w:p>
    <w:p w:rsidR="00DB5B90" w:rsidRDefault="00DB5B90" w14:paraId="53926AAC" w14:textId="77777777">
      <w:pPr>
        <w:pStyle w:val="BodyText"/>
        <w:rPr>
          <w:rFonts w:ascii="Times New Roman"/>
          <w:sz w:val="20"/>
        </w:rPr>
      </w:pPr>
    </w:p>
    <w:p w:rsidR="00DB5B90" w:rsidRDefault="00DB5B90" w14:paraId="53926AAD" w14:textId="77777777">
      <w:pPr>
        <w:pStyle w:val="BodyText"/>
        <w:rPr>
          <w:rFonts w:ascii="Times New Roman"/>
          <w:sz w:val="20"/>
        </w:rPr>
      </w:pPr>
    </w:p>
    <w:p w:rsidR="00DB5B90" w:rsidRDefault="007D523C" w14:paraId="53926AAE" w14:textId="77777777">
      <w:pPr>
        <w:pStyle w:val="Title"/>
      </w:pPr>
      <w:r>
        <w:t>POLICY DOCUMENT</w:t>
      </w:r>
    </w:p>
    <w:p w:rsidR="00DB5B90" w:rsidRDefault="00DB5B90" w14:paraId="53926AAF" w14:textId="77777777">
      <w:pPr>
        <w:pStyle w:val="BodyText"/>
        <w:rPr>
          <w:rFonts w:ascii="Lucida Sans"/>
          <w:sz w:val="20"/>
        </w:rPr>
      </w:pPr>
    </w:p>
    <w:p w:rsidR="00DB5B90" w:rsidRDefault="007D523C" w14:paraId="53926AB0" w14:textId="77777777">
      <w:pPr>
        <w:pStyle w:val="Heading2"/>
        <w:rPr>
          <w:b/>
          <w:bCs/>
          <w:sz w:val="56"/>
          <w:szCs w:val="56"/>
        </w:rPr>
      </w:pPr>
      <w:r>
        <w:rPr>
          <w:b/>
          <w:bCs/>
          <w:sz w:val="56"/>
          <w:szCs w:val="56"/>
        </w:rPr>
        <w:t>Honorarium Policy</w:t>
      </w:r>
    </w:p>
    <w:p w:rsidR="00DB5B90" w:rsidRDefault="00DB5B90" w14:paraId="53926AB1" w14:textId="77777777">
      <w:pPr>
        <w:pStyle w:val="BodyText"/>
        <w:rPr>
          <w:sz w:val="20"/>
        </w:rPr>
      </w:pPr>
    </w:p>
    <w:p w:rsidR="00DB5B90" w:rsidRDefault="00DB5B90" w14:paraId="53926AB2" w14:textId="77777777">
      <w:pPr>
        <w:pStyle w:val="BodyText"/>
        <w:rPr>
          <w:sz w:val="20"/>
        </w:rPr>
      </w:pPr>
    </w:p>
    <w:p w:rsidR="00DB5B90" w:rsidRDefault="007D523C" w14:paraId="53926AB3" w14:textId="77777777">
      <w:pPr>
        <w:pStyle w:val="BodyText"/>
        <w:rPr>
          <w:sz w:val="20"/>
        </w:rPr>
      </w:pPr>
      <w:r>
        <w:rPr>
          <w:noProof/>
        </w:rPr>
        <mc:AlternateContent>
          <mc:Choice Requires="wps">
            <w:drawing>
              <wp:anchor distT="0" distB="0" distL="0" distR="0" simplePos="0" relativeHeight="2" behindDoc="0" locked="0" layoutInCell="1" allowOverlap="1" wp14:anchorId="53926B29" wp14:editId="53926B2A">
                <wp:simplePos x="0" y="0"/>
                <wp:positionH relativeFrom="page">
                  <wp:posOffset>0</wp:posOffset>
                </wp:positionH>
                <wp:positionV relativeFrom="page">
                  <wp:posOffset>0</wp:posOffset>
                </wp:positionV>
                <wp:extent cx="68580" cy="10031095"/>
                <wp:effectExtent l="0" t="0" r="0" b="0"/>
                <wp:wrapNone/>
                <wp:docPr id="205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 cy="10031095"/>
                        </a:xfrm>
                        <a:prstGeom prst="rect">
                          <a:avLst/>
                        </a:prstGeom>
                        <a:solidFill>
                          <a:srgbClr val="000000"/>
                        </a:solidFill>
                        <a:ln>
                          <a:noFill/>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w14:anchorId="56D01C5A">
              <v:rect id="docshape1" style="position:absolute;margin-left:0;margin-top:0;width:5.4pt;height:789.85pt;z-index: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26" fillcolor="black" stroked="f" w14:anchorId="3CBEF3E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">
                <w10:wrap anchorx="page" anchory="page"/>
              </v:rect>
            </w:pict>
          </mc:Fallback>
        </mc:AlternateContent>
      </w:r>
    </w:p>
    <w:p w:rsidR="00DB5B90" w:rsidRDefault="007D523C" w14:paraId="53926AB4" w14:textId="77777777">
      <w:pPr>
        <w:tabs>
          <w:tab w:val="left" w:pos="2268"/>
        </w:tabs>
        <w:spacing w:before="211"/>
        <w:ind w:left="2268" w:hanging="2150"/>
        <w:rPr>
          <w:rFonts w:eastAsia="Calibri" w:cs="Calibri"/>
          <w:b/>
          <w:color w:val="3B3B3B"/>
          <w:szCs w:val="25"/>
        </w:rPr>
      </w:pPr>
      <w:r>
        <w:rPr>
          <w:rFonts w:eastAsia="Calibri" w:cs="Calibri"/>
          <w:b/>
          <w:color w:val="3B3B3B"/>
          <w:szCs w:val="25"/>
        </w:rPr>
        <w:t>Organisation</w:t>
      </w:r>
      <w:r w:rsidRPr="004652C4">
        <w:rPr>
          <w:rFonts w:eastAsia="Calibri" w:cs="Calibri"/>
          <w:b/>
          <w:color w:val="000000" w:themeColor="text1"/>
          <w:szCs w:val="25"/>
          <w:lang w:val="en-US"/>
        </w:rPr>
        <w:t>:</w:t>
      </w:r>
      <w:r>
        <w:rPr>
          <w:rFonts w:eastAsia="Calibri" w:cs="Calibri"/>
          <w:b/>
          <w:color w:val="3B3B3B"/>
          <w:szCs w:val="25"/>
        </w:rPr>
        <w:tab/>
      </w:r>
      <w:r>
        <w:rPr>
          <w:rFonts w:eastAsia="Calibri" w:cs="Calibri"/>
          <w:bCs/>
          <w:color w:val="3B3B3B"/>
          <w:szCs w:val="25"/>
        </w:rPr>
        <w:t>Te Akatoki o Te Whare Wānanga of Waitaha (Māori Students</w:t>
      </w:r>
      <w:r>
        <w:rPr>
          <w:rFonts w:eastAsia="Calibri" w:cs="Lucida Sans"/>
          <w:bCs/>
          <w:color w:val="3B3B3B"/>
          <w:szCs w:val="25"/>
        </w:rPr>
        <w:t>’</w:t>
      </w:r>
      <w:r>
        <w:rPr>
          <w:rFonts w:eastAsia="Calibri" w:cs="Calibri"/>
          <w:bCs/>
          <w:color w:val="3B3B3B"/>
          <w:szCs w:val="25"/>
        </w:rPr>
        <w:t xml:space="preserve"> Association) Incorporated (Te Akatoki)</w:t>
      </w:r>
    </w:p>
    <w:p w:rsidR="00DB5B90" w:rsidRDefault="007D523C" w14:paraId="53926AB5" w14:textId="77777777">
      <w:pPr>
        <w:tabs>
          <w:tab w:val="left" w:pos="2268"/>
        </w:tabs>
        <w:spacing w:before="211"/>
        <w:ind w:left="118"/>
        <w:rPr>
          <w:rFonts w:eastAsia="Calibri" w:cs="Calibri"/>
          <w:color w:val="3B3B3B"/>
          <w:szCs w:val="25"/>
        </w:rPr>
      </w:pPr>
      <w:r>
        <w:rPr>
          <w:rFonts w:eastAsia="Calibri" w:cs="Calibri"/>
          <w:b/>
          <w:color w:val="3B3B3B"/>
          <w:szCs w:val="25"/>
        </w:rPr>
        <w:br/>
      </w:r>
      <w:r>
        <w:rPr>
          <w:rFonts w:eastAsia="Calibri" w:cs="Calibri"/>
          <w:b/>
          <w:color w:val="3B3B3B"/>
          <w:szCs w:val="25"/>
        </w:rPr>
        <w:t>Issue</w:t>
      </w:r>
      <w:r>
        <w:rPr>
          <w:rFonts w:eastAsia="Calibri" w:cs="Calibri"/>
          <w:b/>
          <w:color w:val="3B3B3B"/>
          <w:spacing w:val="-6"/>
          <w:szCs w:val="25"/>
        </w:rPr>
        <w:t xml:space="preserve"> </w:t>
      </w:r>
      <w:r>
        <w:rPr>
          <w:rFonts w:eastAsia="Calibri" w:cs="Calibri"/>
          <w:b/>
          <w:color w:val="3B3B3B"/>
          <w:szCs w:val="25"/>
        </w:rPr>
        <w:t>Date</w:t>
      </w:r>
      <w:r w:rsidRPr="004652C4">
        <w:rPr>
          <w:rFonts w:eastAsia="Calibri" w:cs="Calibri"/>
          <w:b/>
          <w:color w:val="000000" w:themeColor="text1"/>
          <w:szCs w:val="25"/>
          <w:lang w:val="en-US"/>
        </w:rPr>
        <w:t>:</w:t>
      </w:r>
      <w:r>
        <w:rPr>
          <w:rFonts w:eastAsia="Calibri" w:cs="Calibri"/>
          <w:b/>
          <w:color w:val="3B3B3B"/>
          <w:spacing w:val="69"/>
          <w:w w:val="150"/>
          <w:szCs w:val="25"/>
        </w:rPr>
        <w:tab/>
      </w:r>
      <w:r>
        <w:rPr>
          <w:rFonts w:eastAsia="Calibri" w:cs="Calibri"/>
          <w:color w:val="3B3B3B"/>
          <w:szCs w:val="25"/>
        </w:rPr>
        <w:t>25 August 2024</w:t>
      </w:r>
    </w:p>
    <w:p w:rsidR="00DB5B90" w:rsidRDefault="007D523C" w14:paraId="53926AB6" w14:textId="77777777">
      <w:pPr>
        <w:tabs>
          <w:tab w:val="left" w:pos="2268"/>
        </w:tabs>
        <w:spacing w:before="211"/>
        <w:ind w:left="118"/>
        <w:rPr>
          <w:rFonts w:eastAsia="Calibri" w:cs="Calibri"/>
          <w:color w:val="3B3B3B"/>
          <w:szCs w:val="25"/>
        </w:rPr>
      </w:pPr>
      <w:r>
        <w:rPr>
          <w:rFonts w:eastAsia="Calibri" w:cs="Calibri"/>
          <w:b/>
          <w:color w:val="3B3B3B"/>
          <w:szCs w:val="25"/>
        </w:rPr>
        <w:t>Review</w:t>
      </w:r>
      <w:r>
        <w:rPr>
          <w:rFonts w:eastAsia="Calibri" w:cs="Calibri"/>
          <w:b/>
          <w:color w:val="3B3B3B"/>
          <w:spacing w:val="-5"/>
          <w:szCs w:val="25"/>
        </w:rPr>
        <w:t xml:space="preserve"> </w:t>
      </w:r>
      <w:r>
        <w:rPr>
          <w:rFonts w:eastAsia="Calibri" w:cs="Calibri"/>
          <w:b/>
          <w:color w:val="3B3B3B"/>
          <w:szCs w:val="25"/>
        </w:rPr>
        <w:t>Date</w:t>
      </w:r>
      <w:r w:rsidRPr="004652C4">
        <w:rPr>
          <w:rFonts w:eastAsia="Calibri" w:cs="Calibri"/>
          <w:b/>
          <w:color w:val="000000" w:themeColor="text1"/>
          <w:szCs w:val="25"/>
          <w:lang w:val="en-US"/>
        </w:rPr>
        <w:t>:</w:t>
      </w:r>
      <w:r>
        <w:rPr>
          <w:rFonts w:eastAsia="Calibri" w:cs="Calibri"/>
          <w:b/>
          <w:color w:val="3B3B3B"/>
          <w:spacing w:val="67"/>
          <w:w w:val="150"/>
          <w:szCs w:val="25"/>
        </w:rPr>
        <w:tab/>
      </w:r>
      <w:r>
        <w:rPr>
          <w:rFonts w:eastAsia="Calibri" w:cs="Calibri"/>
          <w:color w:val="3B3B3B"/>
          <w:szCs w:val="25"/>
        </w:rPr>
        <w:t>August 2026</w:t>
      </w:r>
    </w:p>
    <w:p w:rsidR="00DB5B90" w:rsidRDefault="007D523C" w14:paraId="53926AB7" w14:textId="77777777">
      <w:pPr>
        <w:tabs>
          <w:tab w:val="left" w:pos="2268"/>
        </w:tabs>
        <w:spacing w:before="211"/>
        <w:ind w:left="118"/>
        <w:rPr>
          <w:rFonts w:eastAsia="Calibri" w:cs="Calibri"/>
          <w:color w:val="3B3B3B"/>
          <w:szCs w:val="25"/>
        </w:rPr>
      </w:pPr>
      <w:r>
        <w:rPr>
          <w:rFonts w:eastAsia="Calibri" w:cs="Calibri"/>
          <w:b/>
          <w:color w:val="3B3B3B"/>
          <w:szCs w:val="25"/>
        </w:rPr>
        <w:t>Version:</w:t>
      </w:r>
      <w:r>
        <w:rPr>
          <w:rFonts w:eastAsia="Calibri" w:cs="Calibri"/>
          <w:b/>
          <w:color w:val="3B3B3B"/>
          <w:spacing w:val="65"/>
          <w:w w:val="150"/>
          <w:szCs w:val="25"/>
        </w:rPr>
        <w:t xml:space="preserve"> </w:t>
      </w:r>
      <w:r>
        <w:rPr>
          <w:rFonts w:eastAsia="Calibri" w:cs="Calibri"/>
          <w:b/>
          <w:color w:val="3B3B3B"/>
          <w:spacing w:val="65"/>
          <w:w w:val="150"/>
          <w:szCs w:val="25"/>
        </w:rPr>
        <w:tab/>
      </w:r>
      <w:r>
        <w:rPr>
          <w:rFonts w:eastAsia="Calibri" w:cs="Calibri"/>
          <w:color w:val="3B3B3B"/>
          <w:szCs w:val="25"/>
        </w:rPr>
        <w:t>1</w:t>
      </w:r>
    </w:p>
    <w:p w:rsidR="00DB5B90" w:rsidRDefault="007D523C" w14:paraId="53926AB8" w14:textId="77777777">
      <w:pPr>
        <w:tabs>
          <w:tab w:val="left" w:pos="2268"/>
        </w:tabs>
        <w:spacing w:before="212"/>
        <w:ind w:left="118"/>
        <w:rPr>
          <w:rFonts w:eastAsia="Calibri" w:cs="Calibri"/>
          <w:color w:val="3B3B3B"/>
          <w:szCs w:val="25"/>
        </w:rPr>
      </w:pPr>
      <w:r>
        <w:rPr>
          <w:rFonts w:eastAsia="Calibri" w:cs="Calibri"/>
          <w:b/>
          <w:color w:val="3B3B3B"/>
          <w:szCs w:val="25"/>
        </w:rPr>
        <w:t>Approved</w:t>
      </w:r>
      <w:r>
        <w:rPr>
          <w:rFonts w:eastAsia="Calibri" w:cs="Calibri"/>
          <w:b/>
          <w:color w:val="3B3B3B"/>
          <w:spacing w:val="-6"/>
          <w:szCs w:val="25"/>
        </w:rPr>
        <w:t xml:space="preserve"> </w:t>
      </w:r>
      <w:r>
        <w:rPr>
          <w:rFonts w:eastAsia="Calibri" w:cs="Calibri"/>
          <w:b/>
          <w:color w:val="3B3B3B"/>
          <w:spacing w:val="-5"/>
          <w:szCs w:val="25"/>
        </w:rPr>
        <w:t>by</w:t>
      </w:r>
      <w:r w:rsidRPr="004652C4">
        <w:rPr>
          <w:rFonts w:eastAsia="Calibri" w:cs="Calibri"/>
          <w:b/>
          <w:color w:val="000000" w:themeColor="text1"/>
          <w:spacing w:val="-5"/>
          <w:szCs w:val="25"/>
          <w:lang w:val="en-US"/>
        </w:rPr>
        <w:t>:</w:t>
      </w:r>
      <w:r>
        <w:rPr>
          <w:rFonts w:eastAsia="Calibri" w:cs="Calibri"/>
          <w:b/>
          <w:color w:val="3B3B3B"/>
          <w:szCs w:val="25"/>
        </w:rPr>
        <w:tab/>
      </w:r>
      <w:r>
        <w:rPr>
          <w:rFonts w:eastAsia="Calibri" w:cs="Calibri"/>
          <w:color w:val="3B3B3B"/>
          <w:szCs w:val="25"/>
        </w:rPr>
        <w:t xml:space="preserve">Te </w:t>
      </w:r>
      <w:r>
        <w:rPr>
          <w:rFonts w:eastAsia="Calibri" w:cs="Calibri"/>
          <w:color w:val="3B3B3B"/>
          <w:szCs w:val="25"/>
        </w:rPr>
        <w:t>Akatoki Executive</w:t>
      </w:r>
    </w:p>
    <w:p w:rsidR="00DB5B90" w:rsidRDefault="007D523C" w14:paraId="53926AB9" w14:textId="77777777">
      <w:pPr>
        <w:tabs>
          <w:tab w:val="left" w:pos="1589"/>
          <w:tab w:val="left" w:pos="2268"/>
        </w:tabs>
        <w:spacing w:before="212"/>
        <w:ind w:left="118"/>
        <w:rPr>
          <w:rFonts w:eastAsia="Calibri" w:cs="Calibri"/>
          <w:b/>
          <w:color w:val="3B3B3B"/>
          <w:szCs w:val="25"/>
        </w:rPr>
      </w:pPr>
      <w:r>
        <w:rPr>
          <w:rFonts w:eastAsia="Calibri" w:cs="Calibri"/>
          <w:b/>
          <w:color w:val="3B3B3B"/>
          <w:szCs w:val="25"/>
        </w:rPr>
        <w:t>Approval date</w:t>
      </w:r>
      <w:r w:rsidRPr="004652C4">
        <w:rPr>
          <w:rFonts w:eastAsia="Calibri" w:cs="Calibri"/>
          <w:b/>
          <w:color w:val="000000" w:themeColor="text1"/>
          <w:szCs w:val="25"/>
          <w:lang w:val="en-US"/>
        </w:rPr>
        <w:t>:</w:t>
      </w:r>
      <w:r>
        <w:rPr>
          <w:rFonts w:eastAsia="Calibri" w:cs="Calibri"/>
          <w:b/>
          <w:color w:val="3B3B3B"/>
          <w:szCs w:val="25"/>
        </w:rPr>
        <w:tab/>
      </w:r>
      <w:r>
        <w:rPr>
          <w:rFonts w:eastAsia="Calibri" w:cs="Calibri"/>
          <w:b/>
          <w:color w:val="3B3B3B"/>
          <w:szCs w:val="25"/>
          <w:highlight w:val="yellow"/>
        </w:rPr>
        <w:t>TBC</w:t>
      </w:r>
    </w:p>
    <w:p w:rsidR="00DB5B90" w:rsidRDefault="007D523C" w14:paraId="53926ABA" w14:textId="77777777">
      <w:pPr>
        <w:tabs>
          <w:tab w:val="left" w:pos="2127"/>
        </w:tabs>
        <w:spacing w:before="212"/>
        <w:ind w:left="118"/>
        <w:rPr>
          <w:rFonts w:eastAsia="Calibri" w:cs="Calibri"/>
          <w:szCs w:val="25"/>
        </w:rPr>
      </w:pPr>
      <w:r>
        <w:rPr>
          <w:rFonts w:eastAsia="Calibri" w:cs="Calibri"/>
          <w:b/>
          <w:color w:val="3B3B3B"/>
          <w:spacing w:val="-2"/>
          <w:szCs w:val="25"/>
        </w:rPr>
        <w:t>Owner</w:t>
      </w:r>
      <w:r w:rsidRPr="004652C4">
        <w:rPr>
          <w:rFonts w:eastAsia="Calibri" w:cs="Calibri"/>
          <w:b/>
          <w:color w:val="000000" w:themeColor="text1"/>
          <w:spacing w:val="-2"/>
          <w:szCs w:val="25"/>
          <w:lang w:val="en-US"/>
        </w:rPr>
        <w:t>:</w:t>
      </w:r>
      <w:r>
        <w:rPr>
          <w:rFonts w:eastAsia="Calibri" w:cs="Calibri"/>
          <w:b/>
          <w:color w:val="3B3B3B"/>
          <w:szCs w:val="25"/>
        </w:rPr>
        <w:tab/>
      </w:r>
      <w:r>
        <w:rPr>
          <w:rFonts w:eastAsia="Calibri" w:cs="Calibri"/>
          <w:color w:val="3B3B3B"/>
          <w:szCs w:val="25"/>
        </w:rPr>
        <w:t>Tumuaki, Te Akatoki</w:t>
      </w:r>
      <w:r>
        <w:rPr>
          <w:rFonts w:eastAsia="Calibri" w:cs="Calibri"/>
          <w:color w:val="3B3B3B"/>
          <w:szCs w:val="25"/>
        </w:rPr>
        <w:tab/>
      </w:r>
      <w:r>
        <w:rPr>
          <w:rFonts w:eastAsia="Calibri" w:cs="Calibri"/>
          <w:color w:val="3B3B3B"/>
          <w:szCs w:val="25"/>
        </w:rPr>
        <w:tab/>
      </w:r>
      <w:r>
        <w:rPr>
          <w:rFonts w:eastAsia="Calibri" w:cs="Calibri"/>
          <w:color w:val="3B3B3B"/>
          <w:szCs w:val="25"/>
        </w:rPr>
        <w:t xml:space="preserve"> </w:t>
      </w:r>
    </w:p>
    <w:p w:rsidR="00DB5B90" w:rsidRDefault="00DB5B90" w14:paraId="53926ABB" w14:textId="77777777">
      <w:pPr>
        <w:pStyle w:val="BodyText"/>
        <w:rPr>
          <w:sz w:val="20"/>
        </w:rPr>
      </w:pPr>
    </w:p>
    <w:p w:rsidR="00DB5B90" w:rsidRDefault="00DB5B90" w14:paraId="53926ABC" w14:textId="77777777">
      <w:pPr>
        <w:pStyle w:val="BodyText"/>
        <w:rPr>
          <w:sz w:val="20"/>
        </w:rPr>
      </w:pPr>
    </w:p>
    <w:p w:rsidR="00DB5B90" w:rsidRDefault="00DB5B90" w14:paraId="53926ABD" w14:textId="77777777">
      <w:pPr>
        <w:pStyle w:val="BodyText"/>
        <w:rPr>
          <w:sz w:val="20"/>
        </w:rPr>
      </w:pPr>
    </w:p>
    <w:p w:rsidR="00DB5B90" w:rsidRDefault="00DB5B90" w14:paraId="53926ABE" w14:textId="77777777">
      <w:pPr>
        <w:pStyle w:val="BodyText"/>
        <w:spacing w:before="10"/>
        <w:rPr>
          <w:sz w:val="13"/>
        </w:rPr>
      </w:pPr>
    </w:p>
    <w:p w:rsidR="00DB5B90" w:rsidRDefault="007D523C" w14:paraId="53926ABF" w14:textId="77777777">
      <w:pPr>
        <w:rPr>
          <w:rFonts w:ascii="Calibri" w:hAnsi="Calibri"/>
          <w:sz w:val="18"/>
          <w:szCs w:val="18"/>
        </w:rPr>
      </w:pPr>
      <w:r>
        <w:br w:type="page"/>
      </w:r>
    </w:p>
    <w:p w:rsidR="00DB5B90" w:rsidRDefault="007D523C" w14:paraId="53926AC0" w14:textId="77777777">
      <w:pPr>
        <w:pStyle w:val="Heading2"/>
      </w:pPr>
      <w:r>
        <w:t xml:space="preserve">Purpose of </w:t>
      </w:r>
      <w:r w:rsidRPr="004652C4">
        <w:rPr>
          <w:color w:val="000000" w:themeColor="text1"/>
          <w:lang w:val="en-US"/>
        </w:rPr>
        <w:t xml:space="preserve">the </w:t>
      </w:r>
      <w:r>
        <w:t>policy</w:t>
      </w:r>
    </w:p>
    <w:p w:rsidR="00DB5B90" w:rsidRDefault="007D523C" w14:paraId="53926AC1" w14:textId="77777777">
      <w:r>
        <w:t>The purpose of this policy is to</w:t>
      </w:r>
    </w:p>
    <w:p w:rsidR="00DB5B90" w:rsidRDefault="007D523C" w14:paraId="53926AC2" w14:textId="77777777">
      <w:pPr>
        <w:pStyle w:val="ListParagraph"/>
      </w:pPr>
      <w:r>
        <w:t>State the purpose of honorarium payments to members of the Te Akatoki Executive and to Academic Representatives</w:t>
      </w:r>
    </w:p>
    <w:p w:rsidR="00DB5B90" w:rsidRDefault="007D523C" w14:paraId="53926AC3" w14:textId="77777777">
      <w:pPr>
        <w:pStyle w:val="ListParagraph"/>
      </w:pPr>
      <w:r>
        <w:t>Outline the conditions against which honorarium payments shall be made</w:t>
      </w:r>
    </w:p>
    <w:p w:rsidR="00DB5B90" w:rsidRDefault="007D523C" w14:paraId="53926AC4" w14:textId="77777777">
      <w:pPr>
        <w:pStyle w:val="ListParagraph"/>
      </w:pPr>
      <w:r>
        <w:t>Provide clarity about the honorarium payment process</w:t>
      </w:r>
    </w:p>
    <w:p w:rsidR="00DB5B90" w:rsidRDefault="00DB5B90" w14:paraId="53926AC5" w14:textId="77777777"/>
    <w:p w:rsidR="00DB5B90" w:rsidRDefault="007D523C" w14:paraId="53926AC6" w14:textId="77777777">
      <w:pPr>
        <w:pStyle w:val="Heading2"/>
      </w:pPr>
      <w:bookmarkStart w:name="_Toc176219060" w:id="0"/>
      <w:r>
        <w:t>Definitions</w:t>
      </w:r>
      <w:bookmarkEnd w:id="0"/>
    </w:p>
    <w:p w:rsidR="00DB5B90" w:rsidRDefault="007D523C" w14:paraId="53926AC7" w14:textId="77777777">
      <w:r>
        <w:t>“</w:t>
      </w:r>
      <w:r>
        <w:rPr>
          <w:b/>
          <w:bCs/>
        </w:rPr>
        <w:t>Te Akatoki Executive</w:t>
      </w:r>
      <w:r>
        <w:t>” and “</w:t>
      </w:r>
      <w:r>
        <w:rPr>
          <w:b/>
          <w:bCs/>
        </w:rPr>
        <w:t>the Executive</w:t>
      </w:r>
      <w:r>
        <w:t>” means the officers of Te Akatoki, equivalent to a Board of Directors.</w:t>
      </w:r>
    </w:p>
    <w:p w:rsidR="00DB5B90" w:rsidRDefault="00DB5B90" w14:paraId="53926AC8" w14:textId="77777777"/>
    <w:p w:rsidRPr="004652C4" w:rsidR="00DB5B90" w:rsidRDefault="007D523C" w14:paraId="53926AC9" w14:textId="77777777">
      <w:pPr>
        <w:pStyle w:val="Heading2"/>
        <w:rPr>
          <w:color w:val="000000" w:themeColor="text1"/>
        </w:rPr>
      </w:pPr>
      <w:r>
        <w:t>This policy applies to</w:t>
      </w:r>
      <w:r w:rsidRPr="004652C4">
        <w:rPr>
          <w:color w:val="000000" w:themeColor="text1"/>
          <w:lang w:val="en-US"/>
        </w:rPr>
        <w:t>;</w:t>
      </w:r>
    </w:p>
    <w:p w:rsidR="00DB5B90" w:rsidRDefault="007D523C" w14:paraId="53926ACA" w14:textId="77777777">
      <w:pPr>
        <w:pStyle w:val="ListParagraph"/>
      </w:pPr>
      <w:r>
        <w:t>Te Akatoki Executive</w:t>
      </w:r>
    </w:p>
    <w:p w:rsidR="00DB5B90" w:rsidRDefault="007D523C" w14:paraId="53926ACB" w14:textId="77777777">
      <w:pPr>
        <w:pStyle w:val="ListParagraph"/>
      </w:pPr>
      <w:r>
        <w:t>Te Akatoki Academic Representatives</w:t>
      </w:r>
    </w:p>
    <w:p w:rsidR="00DB5B90" w:rsidRDefault="007D523C" w14:paraId="53926ACC" w14:textId="77777777">
      <w:pPr>
        <w:pStyle w:val="ListParagraph"/>
      </w:pPr>
      <w:r>
        <w:t>Te Akatoki Advisory Board</w:t>
      </w:r>
    </w:p>
    <w:p w:rsidR="00DB5B90" w:rsidRDefault="00DB5B90" w14:paraId="53926ACD" w14:textId="77777777">
      <w:pPr>
        <w:ind w:left="139"/>
      </w:pPr>
    </w:p>
    <w:p w:rsidR="00DB5B90" w:rsidRDefault="007D523C" w14:paraId="53926ACE" w14:textId="77777777">
      <w:pPr>
        <w:pStyle w:val="Heading2"/>
      </w:pPr>
      <w:r>
        <w:t>Scope and context</w:t>
      </w:r>
    </w:p>
    <w:p w:rsidR="00DB5B90" w:rsidRDefault="007D523C" w14:paraId="53926ACF" w14:textId="77777777">
      <w:r>
        <w:t>Members of the Te Akatoki Executive and Te Akatoki Academic Representatives work on behalf of Te Akatoki, its members and stakeholders and Te Akatoki wishes to acknowledge their mahi with the award of an honorarium payment. This policy outlines the purpose and process of the payment of honoraria, and sets out the conditions by which it is awarded.</w:t>
      </w:r>
    </w:p>
    <w:p w:rsidR="00DB5B90" w:rsidRDefault="00DB5B90" w14:paraId="53926AD0" w14:textId="77777777"/>
    <w:p w:rsidR="00DB5B90" w:rsidRDefault="007D523C" w14:paraId="53926AD1" w14:textId="77777777">
      <w:pPr>
        <w:pStyle w:val="Heading2"/>
      </w:pPr>
      <w:r>
        <w:t>Policy principles</w:t>
      </w:r>
    </w:p>
    <w:p w:rsidR="00DB5B90" w:rsidRDefault="007D523C" w14:paraId="53926AD2" w14:textId="77777777">
      <w:pPr>
        <w:pStyle w:val="ListParagraph"/>
      </w:pPr>
      <w:r>
        <w:rPr>
          <w:b/>
          <w:bCs/>
        </w:rPr>
        <w:t>Financial Prudence</w:t>
      </w:r>
      <w:r>
        <w:t>: Te Akatoki is committed to exercising careful and thoughtful management of its financial resources, ensuring all expenses are necessary, reasonable, and directly related to its purpose and objects</w:t>
      </w:r>
    </w:p>
    <w:p w:rsidR="00DB5B90" w:rsidRDefault="007D523C" w14:paraId="53926AD3" w14:textId="77777777">
      <w:pPr>
        <w:pStyle w:val="ListParagraph"/>
      </w:pPr>
      <w:r>
        <w:rPr>
          <w:b/>
          <w:bCs/>
        </w:rPr>
        <w:t>Compliance with Legal Requirements</w:t>
      </w:r>
      <w:r>
        <w:t>: In accordance with New Zealand law, neither members nor officers of a registered charity or incorporated society may gain any pecuniary benefit or advantage from their position: this policy ensures strict adherence to these legal requirements</w:t>
      </w:r>
    </w:p>
    <w:p w:rsidR="00DB5B90" w:rsidRDefault="007D523C" w14:paraId="53926AD4" w14:textId="77777777">
      <w:pPr>
        <w:pStyle w:val="ListParagraph"/>
      </w:pPr>
      <w:r>
        <w:rPr>
          <w:b/>
          <w:bCs/>
        </w:rPr>
        <w:t xml:space="preserve">Transparency and </w:t>
      </w:r>
      <w:r>
        <w:rPr>
          <w:b/>
          <w:bCs/>
        </w:rPr>
        <w:t>Accountability</w:t>
      </w:r>
      <w:r>
        <w:t>: This policy details the award and recognition of members of the Te Akatoki Executive and Academic Representatives, ensuring transparency and accountability in the use of Te Akatoki’s funds</w:t>
      </w:r>
    </w:p>
    <w:p w:rsidR="00DB5B90" w:rsidRDefault="007D523C" w14:paraId="53926AD5" w14:textId="77777777">
      <w:pPr>
        <w:pStyle w:val="ListParagraph"/>
      </w:pPr>
      <w:r>
        <w:rPr>
          <w:b/>
          <w:bCs/>
        </w:rPr>
        <w:t>Equity and Fairness</w:t>
      </w:r>
      <w:r>
        <w:t xml:space="preserve">: The policy will be applied consistently and fairly to all members of the Te Akatoki Executive and Academic Representatives, ensuring no individual receives preferential </w:t>
      </w:r>
      <w:r>
        <w:t>treatment</w:t>
      </w:r>
    </w:p>
    <w:p w:rsidR="00DB5B90" w:rsidRDefault="007D523C" w14:paraId="53926AD6" w14:textId="77777777">
      <w:pPr>
        <w:pStyle w:val="ListParagraph"/>
      </w:pPr>
      <w:r>
        <w:rPr>
          <w:b/>
          <w:bCs/>
        </w:rPr>
        <w:t>Approval and Oversight</w:t>
      </w:r>
      <w:r>
        <w:t>: All honorarium payments must be approved by the Te Akatoki Executive, and</w:t>
      </w:r>
      <w:r>
        <w:t xml:space="preserve"> regular audits shall be conducted to ensure compliance with this policy</w:t>
      </w:r>
    </w:p>
    <w:p w:rsidR="00DB5B90" w:rsidRDefault="007D523C" w14:paraId="53926AD7" w14:textId="77777777">
      <w:pPr>
        <w:pStyle w:val="ListParagraph"/>
      </w:pPr>
      <w:r>
        <w:rPr>
          <w:b/>
          <w:bCs/>
        </w:rPr>
        <w:t>Ethical Conduct</w:t>
      </w:r>
      <w:r>
        <w:t>: All Te Akatoki members, including members of the Executive are expected to act with integrity and in the best interests of Te Akatoki at all times, with any conflicts of interest disclosed and managed appropriately</w:t>
      </w:r>
    </w:p>
    <w:p w:rsidR="00DB5B90" w:rsidRDefault="007D523C" w14:paraId="53926AD8" w14:textId="77777777">
      <w:pPr>
        <w:pStyle w:val="ListParagraph"/>
      </w:pPr>
      <w:r>
        <w:rPr>
          <w:b/>
          <w:bCs/>
        </w:rPr>
        <w:t>Regular Review</w:t>
      </w:r>
      <w:r>
        <w:t>: The policy will be reviewed periodically to ensure it remains relevant and effective, incorporating any changes in legal or regulatory requirements</w:t>
      </w:r>
    </w:p>
    <w:p w:rsidR="00DB5B90" w:rsidRDefault="00DB5B90" w14:paraId="53926AD9" w14:textId="77777777">
      <w:pPr>
        <w:ind w:left="139"/>
      </w:pPr>
    </w:p>
    <w:p w:rsidR="00DB5B90" w:rsidRDefault="007D523C" w14:paraId="53926ADA" w14:textId="77777777">
      <w:pPr>
        <w:pStyle w:val="Heading2"/>
      </w:pPr>
      <w:r>
        <w:t xml:space="preserve">Details of </w:t>
      </w:r>
      <w:r w:rsidRPr="004652C4">
        <w:rPr>
          <w:color w:val="000000" w:themeColor="text1"/>
          <w:lang w:val="en-US"/>
        </w:rPr>
        <w:t xml:space="preserve">the </w:t>
      </w:r>
      <w:r>
        <w:t>policy</w:t>
      </w:r>
    </w:p>
    <w:p w:rsidR="00DB5B90" w:rsidRDefault="00DB5B90" w14:paraId="53926ADB" w14:textId="77777777"/>
    <w:p w:rsidR="00DB5B90" w:rsidRDefault="007D523C" w14:paraId="53926ADC" w14:textId="77777777">
      <w:pPr>
        <w:pStyle w:val="Heading1"/>
        <w:rPr>
          <w:sz w:val="36"/>
          <w:szCs w:val="36"/>
        </w:rPr>
      </w:pPr>
      <w:r>
        <w:rPr>
          <w:sz w:val="36"/>
          <w:szCs w:val="36"/>
        </w:rPr>
        <w:t>Part A - Executive and Academic Representatives</w:t>
      </w:r>
    </w:p>
    <w:p w:rsidR="00DB5B90" w:rsidRDefault="00DB5B90" w14:paraId="53926ADD" w14:textId="77777777"/>
    <w:p w:rsidR="00DB5B90" w:rsidRDefault="00DB5B90" w14:paraId="53926ADE" w14:textId="77777777">
      <w:pPr>
        <w:rPr>
          <w:sz w:val="12"/>
          <w:szCs w:val="8"/>
        </w:rPr>
      </w:pPr>
    </w:p>
    <w:p w:rsidR="00DB5B90" w:rsidRDefault="007D523C" w14:paraId="53926ADF" w14:textId="77777777">
      <w:pPr>
        <w:pStyle w:val="Heading3"/>
      </w:pPr>
      <w:r>
        <w:t>1. Purpose of Honoraria</w:t>
      </w:r>
    </w:p>
    <w:p w:rsidR="00DB5B90" w:rsidRDefault="007D523C" w14:paraId="53926AE0" w14:textId="77777777">
      <w:pPr>
        <w:pStyle w:val="Numberedlist"/>
      </w:pPr>
      <w:r>
        <w:t>Honorarium payments are made to officers of an incorporated society to recognize and compensate them for their voluntary services and contributions, acknowledging their time and effort without constituting a formal salary</w:t>
      </w:r>
    </w:p>
    <w:p w:rsidR="00DB5B90" w:rsidRDefault="007D523C" w14:paraId="53926AE1" w14:textId="77777777">
      <w:pPr>
        <w:pStyle w:val="Numberedlist"/>
      </w:pPr>
      <w:r>
        <w:t>The honorarium for each role is not intended to reflect a market rate of remuneration for any waged or salaried role in Aotearoa New Zealand</w:t>
      </w:r>
    </w:p>
    <w:p w:rsidR="00DB5B90" w:rsidRDefault="00DB5B90" w14:paraId="53926AE2" w14:textId="77777777">
      <w:pPr>
        <w:pStyle w:val="Numberedlist"/>
        <w:numPr>
          <w:ilvl w:val="0"/>
          <w:numId w:val="0"/>
        </w:numPr>
      </w:pPr>
    </w:p>
    <w:p w:rsidR="00DB5B90" w:rsidRDefault="007D523C" w14:paraId="53926AE3" w14:textId="77777777">
      <w:pPr>
        <w:pStyle w:val="Heading3"/>
      </w:pPr>
      <w:r>
        <w:t>2. Conditions of Honoraria payments</w:t>
      </w:r>
    </w:p>
    <w:p w:rsidR="00DB5B90" w:rsidRDefault="00DB5B90" w14:paraId="53926AE4" w14:textId="77777777"/>
    <w:p w:rsidR="00DB5B90" w:rsidP="7C8A8BE5" w:rsidRDefault="007D523C" w14:paraId="32E9BA0E" w14:textId="0FAE1CD0">
      <w:pPr>
        <w:pStyle w:val="Numberedlist"/>
        <w:rPr/>
      </w:pPr>
      <w:r w:rsidR="7C8A8BE5">
        <w:rPr/>
        <w:t>The payment of honoraria is conditional upon satisfactory execution of the responsibilities and duties of the role of Executive member or Academic Representative of Te Akatoki</w:t>
      </w:r>
    </w:p>
    <w:p w:rsidR="00DB5B90" w:rsidP="7C8A8BE5" w:rsidRDefault="007D523C" w14:paraId="0EBE7150" w14:textId="2B04D74A">
      <w:pPr>
        <w:pStyle w:val="Numberedlist"/>
        <w:rPr>
          <w:i w:val="1"/>
          <w:iCs w:val="1"/>
        </w:rPr>
      </w:pPr>
      <w:r w:rsidR="7C8A8BE5">
        <w:rPr/>
        <w:t>Execution of the responsibilities shall be known as ‘performance standards’</w:t>
      </w:r>
    </w:p>
    <w:p w:rsidR="00DB5B90" w:rsidP="7C8A8BE5" w:rsidRDefault="007D523C" w14:paraId="53926AE7" w14:textId="4499E345">
      <w:pPr>
        <w:pStyle w:val="Numberedlist"/>
        <w:rPr>
          <w:i w:val="1"/>
          <w:iCs w:val="1"/>
        </w:rPr>
      </w:pPr>
      <w:r w:rsidR="7C8A8BE5">
        <w:rPr/>
        <w:t xml:space="preserve">Performance standards are detailed in the </w:t>
      </w:r>
      <w:r w:rsidRPr="7C8A8BE5" w:rsidR="7C8A8BE5">
        <w:rPr>
          <w:i w:val="1"/>
          <w:iCs w:val="1"/>
        </w:rPr>
        <w:t xml:space="preserve">Te Akatoki Accountability and Reporting Policy </w:t>
      </w:r>
    </w:p>
    <w:p w:rsidR="00DB5B90" w:rsidRDefault="00DB5B90" w14:paraId="53926AE8" w14:textId="77777777">
      <w:pPr>
        <w:pStyle w:val="Numberedlist"/>
        <w:numPr>
          <w:ilvl w:val="0"/>
          <w:numId w:val="0"/>
        </w:numPr>
        <w:ind w:left="360" w:hanging="360"/>
        <w:rPr>
          <w:i/>
          <w:iCs/>
        </w:rPr>
      </w:pPr>
    </w:p>
    <w:p w:rsidR="00DB5B90" w:rsidRDefault="00DB5B90" w14:paraId="53926AE9" w14:textId="77777777">
      <w:pPr>
        <w:pStyle w:val="Numberedlist"/>
        <w:numPr>
          <w:ilvl w:val="0"/>
          <w:numId w:val="0"/>
        </w:numPr>
        <w:ind w:left="360" w:hanging="360"/>
        <w:rPr>
          <w:i/>
          <w:iCs/>
        </w:rPr>
      </w:pPr>
    </w:p>
    <w:p w:rsidR="00DB5B90" w:rsidRDefault="007D523C" w14:paraId="53926AEA" w14:textId="77777777">
      <w:pPr>
        <w:pStyle w:val="Heading3"/>
      </w:pPr>
      <w:r>
        <w:t>3. Approval of Honorarium Payments</w:t>
      </w:r>
    </w:p>
    <w:p w:rsidR="00DB5B90" w:rsidRDefault="007D523C" w14:paraId="53926AEB" w14:textId="77777777">
      <w:pPr>
        <w:pStyle w:val="Numberedlist"/>
        <w:numPr>
          <w:ilvl w:val="0"/>
          <w:numId w:val="10"/>
        </w:numPr>
      </w:pPr>
      <w:r>
        <w:t xml:space="preserve">The Executive shall approve, in advance, the payment of honoraria to all members of the Executive and Academic Representatives for the first quarter of the financial year, except where an Executive member or Academic Representative has given advance notice of </w:t>
      </w:r>
      <w:r>
        <w:t>absence or reduced availability to complete work on behalf of Te Akatoki, in which case a pro-rated honorarium payment shall be made</w:t>
      </w:r>
    </w:p>
    <w:p w:rsidR="00DB5B90" w:rsidRDefault="007D523C" w14:paraId="53926AEC" w14:textId="77777777">
      <w:pPr>
        <w:pStyle w:val="Numberedlist"/>
        <w:numPr>
          <w:ilvl w:val="0"/>
          <w:numId w:val="0"/>
        </w:numPr>
        <w:rPr>
          <w:i/>
          <w:iCs/>
        </w:rPr>
      </w:pPr>
      <w:r>
        <w:t>2. Honorarium p</w:t>
      </w:r>
      <w:r>
        <w:t>ayments for the second, third, and fourth financial quarters shall be approved by the Executive conditional on a role-holder’s satisfactory attainment of performance standards as detailed in the Te Akatoki Account</w:t>
      </w:r>
      <w:r>
        <w:rPr>
          <w:i/>
          <w:iCs/>
        </w:rPr>
        <w:t>ability and Reporting Policy</w:t>
      </w:r>
    </w:p>
    <w:p w:rsidR="00DB5B90" w:rsidRDefault="00DB5B90" w14:paraId="53926AED" w14:textId="77777777">
      <w:pPr>
        <w:pStyle w:val="Numberedlist"/>
        <w:numPr>
          <w:ilvl w:val="0"/>
          <w:numId w:val="0"/>
        </w:numPr>
        <w:ind w:left="360" w:hanging="360"/>
        <w:rPr>
          <w:i/>
          <w:iCs/>
        </w:rPr>
      </w:pPr>
    </w:p>
    <w:p w:rsidR="00DB5B90" w:rsidRDefault="00DB5B90" w14:paraId="53926AEE" w14:textId="77777777">
      <w:pPr>
        <w:pStyle w:val="Numberedlist"/>
        <w:numPr>
          <w:ilvl w:val="0"/>
          <w:numId w:val="0"/>
        </w:numPr>
        <w:ind w:left="360" w:hanging="360"/>
        <w:rPr>
          <w:i/>
          <w:iCs/>
        </w:rPr>
      </w:pPr>
    </w:p>
    <w:p w:rsidR="00DB5B90" w:rsidRDefault="007D523C" w14:paraId="53926AEF" w14:textId="77777777">
      <w:pPr>
        <w:pStyle w:val="Heading3"/>
      </w:pPr>
      <w:r>
        <w:t>4, Adjustments to Honorarium Payments</w:t>
      </w:r>
    </w:p>
    <w:p w:rsidR="00DB5B90" w:rsidRDefault="007D523C" w14:paraId="53926AF0" w14:textId="77777777">
      <w:pPr>
        <w:pStyle w:val="Numberedlist"/>
        <w:numPr>
          <w:ilvl w:val="0"/>
          <w:numId w:val="3"/>
        </w:numPr>
      </w:pPr>
      <w:r>
        <w:t>Where a member of the Executive or an Academic Representative has not met their performance standards for a period of time, the Executive may, at its discretion, authorise a pro-rated reduction of honorarium payment in respect of this</w:t>
      </w:r>
      <w:r>
        <w:rPr>
          <w:lang w:val="en-US"/>
        </w:rPr>
        <w:t>.</w:t>
      </w:r>
    </w:p>
    <w:p w:rsidR="00DB5B90" w:rsidRDefault="007D523C" w14:paraId="53926AF1" w14:textId="77777777">
      <w:pPr>
        <w:pStyle w:val="Numberedlist"/>
        <w:numPr>
          <w:ilvl w:val="0"/>
          <w:numId w:val="3"/>
        </w:numPr>
      </w:pPr>
      <w:r>
        <w:t>The honorarium payment rate for Executive members and Academic Representatives may not be increased or decreased within a financial year without express consent of the Student Levy Approval Board</w:t>
      </w:r>
      <w:r>
        <w:rPr>
          <w:lang w:val="en-US"/>
        </w:rPr>
        <w:t>.</w:t>
      </w:r>
    </w:p>
    <w:p w:rsidR="00DB5B90" w:rsidRDefault="00DB5B90" w14:paraId="53926AF2" w14:textId="77777777">
      <w:pPr>
        <w:pStyle w:val="Numberedlist"/>
        <w:numPr>
          <w:ilvl w:val="0"/>
          <w:numId w:val="0"/>
        </w:numPr>
        <w:ind w:left="360" w:hanging="360"/>
        <w:rPr>
          <w:i/>
          <w:iCs/>
        </w:rPr>
      </w:pPr>
    </w:p>
    <w:p w:rsidR="00DB5B90" w:rsidRDefault="00DB5B90" w14:paraId="53926AF3" w14:textId="77777777"/>
    <w:p w:rsidR="00DB5B90" w:rsidRDefault="007D523C" w14:paraId="53926AF4" w14:textId="77777777">
      <w:pPr>
        <w:pStyle w:val="Heading3"/>
      </w:pPr>
      <w:r>
        <w:t>5. Payment Rate</w:t>
      </w:r>
    </w:p>
    <w:p w:rsidR="00DB5B90" w:rsidRDefault="007D523C" w14:paraId="53926AF5" w14:textId="77777777">
      <w:pPr>
        <w:pStyle w:val="Numberedlist"/>
        <w:numPr>
          <w:ilvl w:val="0"/>
          <w:numId w:val="8"/>
        </w:numPr>
      </w:pPr>
      <w:r>
        <w:t>Honorarium payments for each Executive and Academic Representative role are set at the beginning of each calendar year as part of the annual budgeting proces</w:t>
      </w:r>
      <w:r>
        <w:rPr>
          <w:lang w:val="en-US"/>
        </w:rPr>
        <w:t xml:space="preserve">s. </w:t>
      </w:r>
    </w:p>
    <w:p w:rsidR="00DB5B90" w:rsidRDefault="00DB5B90" w14:paraId="53926AF6" w14:textId="77777777"/>
    <w:p w:rsidR="00DB5B90" w:rsidRDefault="007D523C" w14:paraId="53926AF7" w14:textId="77777777">
      <w:pPr>
        <w:pStyle w:val="Heading3"/>
      </w:pPr>
      <w:r>
        <w:t>6. Payment process</w:t>
      </w:r>
    </w:p>
    <w:p w:rsidR="00DB5B90" w:rsidRDefault="00DB5B90" w14:paraId="53926AF8" w14:textId="77777777"/>
    <w:p w:rsidR="00DB5B90" w:rsidRDefault="007D523C" w14:paraId="53926AF9" w14:textId="77777777">
      <w:pPr>
        <w:pStyle w:val="Numberedlist"/>
        <w:numPr>
          <w:ilvl w:val="0"/>
          <w:numId w:val="11"/>
        </w:numPr>
      </w:pPr>
      <w:r>
        <w:t>Payments to the Tumuaki, Tumuaki Tuarua (Matauranga), Tumuaki Tuarua (P</w:t>
      </w:r>
      <w:r>
        <w:rPr>
          <w:rFonts w:ascii="Calibri" w:hAnsi="Calibri" w:cs="Calibri"/>
        </w:rPr>
        <w:t>ā</w:t>
      </w:r>
      <w:r>
        <w:t>hekoheko), and Kaitiaki Putea shall be made on a fortnightly basis from the start of the calendar year until the end of the calendar year</w:t>
      </w:r>
    </w:p>
    <w:p w:rsidR="00DB5B90" w:rsidRDefault="007D523C" w14:paraId="53926AFA" w14:textId="77777777">
      <w:pPr>
        <w:pStyle w:val="Numberedlist"/>
        <w:numPr>
          <w:ilvl w:val="0"/>
          <w:numId w:val="11"/>
        </w:numPr>
      </w:pPr>
      <w:r>
        <w:t>Payments to all other Executive roles, and all Academic Representative roles, shall be made on a fortnightly basis following the completion of the Executive Induction Programme or Academic Representative Induction Programme, as applicable</w:t>
      </w:r>
    </w:p>
    <w:p w:rsidR="00DB5B90" w:rsidRDefault="007D523C" w14:paraId="53926AFB" w14:textId="77777777">
      <w:pPr>
        <w:pStyle w:val="Numberedlist"/>
        <w:numPr>
          <w:ilvl w:val="0"/>
          <w:numId w:val="11"/>
        </w:numPr>
      </w:pPr>
      <w:r>
        <w:t>Withholding tax will be deducted from fortnightly payments</w:t>
      </w:r>
    </w:p>
    <w:p w:rsidR="00DB5B90" w:rsidRDefault="007D523C" w14:paraId="53926AFC" w14:textId="77777777">
      <w:pPr>
        <w:pStyle w:val="Numberedlist"/>
        <w:numPr>
          <w:ilvl w:val="0"/>
          <w:numId w:val="11"/>
        </w:numPr>
      </w:pPr>
      <w:r>
        <w:t>It is the responsibility of the Executive member or Academic Representative to pay any levies payable to ACC.</w:t>
      </w:r>
    </w:p>
    <w:p w:rsidR="00DB5B90" w:rsidRDefault="00DB5B90" w14:paraId="53926AFD" w14:textId="77777777">
      <w:pPr>
        <w:pStyle w:val="Numberedlist"/>
        <w:numPr>
          <w:ilvl w:val="0"/>
          <w:numId w:val="0"/>
        </w:numPr>
        <w:ind w:left="360" w:hanging="360"/>
      </w:pPr>
    </w:p>
    <w:p w:rsidR="00DB5B90" w:rsidRDefault="007D523C" w14:paraId="53926AFE" w14:textId="77777777">
      <w:pPr>
        <w:pStyle w:val="Heading1"/>
        <w:rPr>
          <w:sz w:val="36"/>
          <w:szCs w:val="36"/>
        </w:rPr>
      </w:pPr>
      <w:r>
        <w:rPr>
          <w:sz w:val="36"/>
          <w:szCs w:val="36"/>
        </w:rPr>
        <w:t>Part B – Academic Board</w:t>
      </w:r>
    </w:p>
    <w:p w:rsidR="00DB5B90" w:rsidRDefault="00DB5B90" w14:paraId="53926AFF" w14:textId="77777777"/>
    <w:p w:rsidR="00DB5B90" w:rsidRDefault="00DB5B90" w14:paraId="53926B00" w14:textId="77777777">
      <w:pPr>
        <w:rPr>
          <w:sz w:val="12"/>
          <w:szCs w:val="8"/>
        </w:rPr>
      </w:pPr>
    </w:p>
    <w:p w:rsidR="00DB5B90" w:rsidRDefault="007D523C" w14:paraId="53926B01" w14:textId="77777777">
      <w:pPr>
        <w:pStyle w:val="Heading3"/>
      </w:pPr>
      <w:r>
        <w:t>1. Purpose of Honoraria</w:t>
      </w:r>
    </w:p>
    <w:p w:rsidR="00DB5B90" w:rsidRDefault="007D523C" w14:paraId="53926B02" w14:textId="77777777">
      <w:pPr>
        <w:pStyle w:val="Numberedlist"/>
        <w:numPr>
          <w:ilvl w:val="0"/>
          <w:numId w:val="19"/>
        </w:numPr>
      </w:pPr>
      <w:r>
        <w:t>Honorarium payments are made to thank Advisory Board members and compensate them for their voluntary services and contributions, acknowledging their time and effort without constituting a formal salary</w:t>
      </w:r>
      <w:r>
        <w:rPr>
          <w:lang w:val="en-US"/>
        </w:rPr>
        <w:t>.</w:t>
      </w:r>
    </w:p>
    <w:p w:rsidR="00DB5B90" w:rsidRDefault="007D523C" w14:paraId="53926B03" w14:textId="77777777">
      <w:pPr>
        <w:pStyle w:val="Numberedlist"/>
        <w:numPr>
          <w:ilvl w:val="0"/>
          <w:numId w:val="0"/>
        </w:numPr>
      </w:pPr>
      <w:r>
        <w:t xml:space="preserve">2. </w:t>
      </w:r>
      <w:r>
        <w:t>The honorarium for each role is not intended to reflect a market rate of remuneration for any waged or salaried role in Aotearoa New Zealand, or to reflect a ‘director’s fee’ in any way</w:t>
      </w:r>
      <w:r>
        <w:rPr>
          <w:lang w:val="en-US"/>
        </w:rPr>
        <w:t>.</w:t>
      </w:r>
    </w:p>
    <w:p w:rsidR="00DB5B90" w:rsidRDefault="00DB5B90" w14:paraId="53926B04" w14:textId="77777777">
      <w:pPr>
        <w:pStyle w:val="Numberedlist"/>
        <w:numPr>
          <w:ilvl w:val="0"/>
          <w:numId w:val="0"/>
        </w:numPr>
      </w:pPr>
    </w:p>
    <w:p w:rsidR="00DB5B90" w:rsidRDefault="007D523C" w14:paraId="53926B05" w14:textId="77777777">
      <w:pPr>
        <w:pStyle w:val="Heading3"/>
      </w:pPr>
      <w:r>
        <w:t>2. Conditions of Honoraria payments</w:t>
      </w:r>
    </w:p>
    <w:p w:rsidR="00DB5B90" w:rsidRDefault="00DB5B90" w14:paraId="53926B06" w14:textId="77777777"/>
    <w:p w:rsidR="00DB5B90" w:rsidRDefault="007D523C" w14:paraId="53926B07" w14:textId="77777777">
      <w:pPr>
        <w:pStyle w:val="Numberedlist"/>
        <w:numPr>
          <w:ilvl w:val="0"/>
          <w:numId w:val="14"/>
        </w:numPr>
        <w:rPr>
          <w:i/>
          <w:iCs/>
        </w:rPr>
      </w:pPr>
      <w:r>
        <w:t>The payment of honoraria to Academic Board is conditional on attendance at Advisory Board meetings, completion of related preparation and follow-up work, and the occasional and ad-hoc advice to the Tumuaki, Tuarua or Kaitiaki Putea</w:t>
      </w:r>
      <w:r w:rsidRPr="004652C4">
        <w:rPr>
          <w:color w:val="000000" w:themeColor="text1"/>
          <w:lang w:val="en-US"/>
        </w:rPr>
        <w:t>.</w:t>
      </w:r>
    </w:p>
    <w:p w:rsidR="00DB5B90" w:rsidRDefault="00DB5B90" w14:paraId="53926B08" w14:textId="77777777">
      <w:pPr>
        <w:pStyle w:val="Numberedlist"/>
        <w:numPr>
          <w:ilvl w:val="0"/>
          <w:numId w:val="0"/>
        </w:numPr>
        <w:ind w:left="360" w:hanging="360"/>
        <w:rPr>
          <w:i/>
          <w:iCs/>
        </w:rPr>
      </w:pPr>
    </w:p>
    <w:p w:rsidR="00DB5B90" w:rsidRDefault="00DB5B90" w14:paraId="53926B09" w14:textId="77777777">
      <w:pPr>
        <w:pStyle w:val="Numberedlist"/>
        <w:numPr>
          <w:ilvl w:val="0"/>
          <w:numId w:val="0"/>
        </w:numPr>
        <w:ind w:left="360" w:hanging="360"/>
        <w:rPr>
          <w:i/>
          <w:iCs/>
        </w:rPr>
      </w:pPr>
    </w:p>
    <w:p w:rsidR="00DB5B90" w:rsidRDefault="007D523C" w14:paraId="53926B0A" w14:textId="77777777">
      <w:pPr>
        <w:pStyle w:val="Heading3"/>
      </w:pPr>
      <w:r>
        <w:t>3. Approval of Honorarium Payments</w:t>
      </w:r>
    </w:p>
    <w:p w:rsidR="00DB5B90" w:rsidRDefault="007D523C" w14:paraId="53926B0B" w14:textId="77777777">
      <w:pPr>
        <w:numPr>
          <w:ilvl w:val="0"/>
          <w:numId w:val="24"/>
        </w:numPr>
        <w:rPr>
          <w:rFonts w:ascii="Calibri" w:hAnsi="Calibri"/>
          <w:sz w:val="18"/>
          <w:szCs w:val="18"/>
        </w:rPr>
      </w:pPr>
      <w:r>
        <w:t xml:space="preserve">The Executive shall approve, in advance, the payment of honoraria to all members </w:t>
      </w:r>
    </w:p>
    <w:p w:rsidR="00DB5B90" w:rsidRDefault="007D523C" w14:paraId="53926B0C" w14:textId="77777777">
      <w:pPr>
        <w:pStyle w:val="Numberedlist"/>
        <w:numPr>
          <w:ilvl w:val="0"/>
          <w:numId w:val="0"/>
        </w:numPr>
      </w:pPr>
      <w:r>
        <w:t>of the Advisory Board for the first quarter of the financial year, except where an Advisory Board member has given advance notice of absence or reduced availability to support Te Akatoki during that period, in which case a pro-rated honorarium payment shall be made.</w:t>
      </w:r>
    </w:p>
    <w:p w:rsidR="00DB5B90" w:rsidRDefault="007D523C" w14:paraId="53926B0D" w14:textId="77777777">
      <w:pPr>
        <w:pStyle w:val="Numberedlist"/>
        <w:numPr>
          <w:ilvl w:val="0"/>
          <w:numId w:val="0"/>
        </w:numPr>
        <w:rPr>
          <w:i/>
          <w:iCs/>
        </w:rPr>
      </w:pPr>
      <w:r>
        <w:t>2. Honorarium payments for the second, third, and fourth financial quarters shall be approved by the Executive at the recommendation of the Tumuaki.</w:t>
      </w:r>
    </w:p>
    <w:p w:rsidR="00DB5B90" w:rsidRDefault="00DB5B90" w14:paraId="53926B0E" w14:textId="77777777">
      <w:pPr>
        <w:pStyle w:val="Numberedlist"/>
        <w:numPr>
          <w:ilvl w:val="0"/>
          <w:numId w:val="0"/>
        </w:numPr>
        <w:ind w:left="360" w:hanging="360"/>
        <w:rPr>
          <w:i/>
          <w:iCs/>
        </w:rPr>
      </w:pPr>
    </w:p>
    <w:p w:rsidR="00DB5B90" w:rsidRDefault="00DB5B90" w14:paraId="53926B0F" w14:textId="77777777">
      <w:pPr>
        <w:pStyle w:val="Numberedlist"/>
        <w:numPr>
          <w:ilvl w:val="0"/>
          <w:numId w:val="0"/>
        </w:numPr>
        <w:ind w:left="360" w:hanging="360"/>
        <w:rPr>
          <w:i/>
          <w:iCs/>
        </w:rPr>
      </w:pPr>
    </w:p>
    <w:p w:rsidR="00DB5B90" w:rsidRDefault="007D523C" w14:paraId="53926B10" w14:textId="77777777">
      <w:pPr>
        <w:pStyle w:val="Heading3"/>
      </w:pPr>
      <w:r>
        <w:t>4, Adjustments to Honorarium Payments</w:t>
      </w:r>
    </w:p>
    <w:p w:rsidR="00DB5B90" w:rsidRDefault="007D523C" w14:paraId="53926B11" w14:textId="77777777">
      <w:pPr>
        <w:pStyle w:val="Numberedlist"/>
        <w:numPr>
          <w:ilvl w:val="0"/>
          <w:numId w:val="5"/>
        </w:numPr>
      </w:pPr>
      <w:r>
        <w:t>The honorarium payment rate for Advisory Board members may not be increased or decreased within a financial year without express consent of the Student Levy Approval Board</w:t>
      </w:r>
      <w:r>
        <w:rPr>
          <w:lang w:val="en-US"/>
        </w:rPr>
        <w:t>.</w:t>
      </w:r>
    </w:p>
    <w:p w:rsidR="00DB5B90" w:rsidRDefault="00DB5B90" w14:paraId="53926B12" w14:textId="77777777">
      <w:pPr>
        <w:pStyle w:val="Numberedlist"/>
        <w:numPr>
          <w:ilvl w:val="0"/>
          <w:numId w:val="0"/>
        </w:numPr>
        <w:ind w:left="360" w:hanging="360"/>
        <w:rPr>
          <w:i/>
          <w:iCs/>
        </w:rPr>
      </w:pPr>
    </w:p>
    <w:p w:rsidR="00DB5B90" w:rsidRDefault="00DB5B90" w14:paraId="53926B13" w14:textId="77777777"/>
    <w:p w:rsidR="00DB5B90" w:rsidRDefault="007D523C" w14:paraId="53926B14" w14:textId="77777777">
      <w:pPr>
        <w:pStyle w:val="Heading3"/>
      </w:pPr>
      <w:r>
        <w:t>5. Payment Rate</w:t>
      </w:r>
    </w:p>
    <w:p w:rsidR="00DB5B90" w:rsidRDefault="007D523C" w14:paraId="53926B15" w14:textId="77777777">
      <w:pPr>
        <w:pStyle w:val="Numberedlist"/>
        <w:numPr>
          <w:ilvl w:val="0"/>
          <w:numId w:val="4"/>
        </w:numPr>
      </w:pPr>
      <w:r>
        <w:t>Honorarium payments for the Advisory Board role is set at  the beginning of each calendar year as part of the annual budgeting process</w:t>
      </w:r>
      <w:r>
        <w:rPr>
          <w:lang w:val="en-US"/>
        </w:rPr>
        <w:t>.</w:t>
      </w:r>
    </w:p>
    <w:p w:rsidR="00DB5B90" w:rsidRDefault="00DB5B90" w14:paraId="53926B16" w14:textId="77777777">
      <w:pPr>
        <w:pStyle w:val="Numberedlist"/>
        <w:numPr>
          <w:ilvl w:val="0"/>
          <w:numId w:val="0"/>
        </w:numPr>
      </w:pPr>
    </w:p>
    <w:p w:rsidR="00DB5B90" w:rsidRDefault="007D523C" w14:paraId="53926B17" w14:textId="77777777">
      <w:pPr>
        <w:pStyle w:val="Heading3"/>
      </w:pPr>
      <w:r>
        <w:t>6. Payment process</w:t>
      </w:r>
    </w:p>
    <w:p w:rsidR="00DB5B90" w:rsidRDefault="00DB5B90" w14:paraId="53926B18" w14:textId="77777777"/>
    <w:p w:rsidR="00DB5B90" w:rsidRDefault="007D523C" w14:paraId="53926B19" w14:textId="77777777">
      <w:pPr>
        <w:pStyle w:val="Numberedlist"/>
        <w:numPr>
          <w:ilvl w:val="0"/>
          <w:numId w:val="16"/>
        </w:numPr>
      </w:pPr>
      <w:r>
        <w:t>Approved honorarium payments to Advisory Board members are made on the 20</w:t>
      </w:r>
      <w:r>
        <w:rPr>
          <w:vertAlign w:val="superscript"/>
        </w:rPr>
        <w:t>th</w:t>
      </w:r>
      <w:r>
        <w:t xml:space="preserve"> of the month following an Academic Board meeting</w:t>
      </w:r>
      <w:r>
        <w:rPr>
          <w:lang w:val="en-US"/>
        </w:rPr>
        <w:t>.</w:t>
      </w:r>
    </w:p>
    <w:p w:rsidR="00DB5B90" w:rsidRDefault="007D523C" w14:paraId="53926B1A" w14:textId="77777777">
      <w:pPr>
        <w:pStyle w:val="Numberedlist"/>
        <w:numPr>
          <w:ilvl w:val="0"/>
          <w:numId w:val="0"/>
        </w:numPr>
      </w:pPr>
      <w:r>
        <w:t>2. Withholding tax will be deducted from honorarium payments</w:t>
      </w:r>
      <w:r>
        <w:rPr>
          <w:lang w:val="en-US"/>
        </w:rPr>
        <w:t>.</w:t>
      </w:r>
    </w:p>
    <w:p w:rsidR="00DB5B90" w:rsidRDefault="007D523C" w14:paraId="53926B1B" w14:textId="77777777">
      <w:pPr>
        <w:pStyle w:val="Numberedlist"/>
        <w:numPr>
          <w:ilvl w:val="0"/>
          <w:numId w:val="0"/>
        </w:numPr>
      </w:pPr>
      <w:r>
        <w:t>3. It is the responsibility of the Advisory Board to pay any levies payable to ACC.</w:t>
      </w:r>
    </w:p>
    <w:p w:rsidR="00DB5B90" w:rsidRDefault="00DB5B90" w14:paraId="53926B1C" w14:textId="77777777"/>
    <w:p w:rsidR="00DB5B90" w:rsidRDefault="007D523C" w14:paraId="53926B1D" w14:textId="77777777">
      <w:pPr>
        <w:pStyle w:val="Heading2"/>
      </w:pPr>
      <w:r>
        <w:t xml:space="preserve">Related </w:t>
      </w:r>
      <w:r>
        <w:rPr>
          <w:rStyle w:val="Heading2Char1"/>
        </w:rPr>
        <w:t>documents</w:t>
      </w:r>
    </w:p>
    <w:p w:rsidR="00DB5B90" w:rsidRDefault="007D523C" w14:paraId="53926B1E" w14:textId="77777777">
      <w:pPr>
        <w:pStyle w:val="ListParagraph"/>
        <w:numPr>
          <w:ilvl w:val="0"/>
          <w:numId w:val="7"/>
        </w:numPr>
      </w:pPr>
      <w:r>
        <w:t>Te Akatoki Constitution</w:t>
      </w:r>
    </w:p>
    <w:p w:rsidR="00DB5B90" w:rsidRDefault="007D523C" w14:paraId="53926B1F" w14:textId="77777777">
      <w:pPr>
        <w:pStyle w:val="ListParagraph"/>
        <w:numPr>
          <w:ilvl w:val="0"/>
          <w:numId w:val="7"/>
        </w:numPr>
      </w:pPr>
      <w:r>
        <w:t>Te Akatoki Code of Conduct</w:t>
      </w:r>
    </w:p>
    <w:p w:rsidR="00DB5B90" w:rsidRDefault="007D523C" w14:paraId="53926B20" w14:textId="77777777">
      <w:pPr>
        <w:pStyle w:val="ListParagraph"/>
        <w:numPr>
          <w:ilvl w:val="0"/>
          <w:numId w:val="7"/>
        </w:numPr>
      </w:pPr>
      <w:r>
        <w:t>Te Akatoki Executive Charter</w:t>
      </w:r>
    </w:p>
    <w:p w:rsidR="00DB5B90" w:rsidRDefault="007D523C" w14:paraId="53926B21" w14:textId="77777777">
      <w:pPr>
        <w:pStyle w:val="Numberedlist"/>
        <w:numPr>
          <w:ilvl w:val="0"/>
          <w:numId w:val="7"/>
        </w:numPr>
      </w:pPr>
      <w:r>
        <w:t xml:space="preserve">Te </w:t>
      </w:r>
      <w:r>
        <w:t>Akatoki Accountability and Reporting Policy</w:t>
      </w:r>
    </w:p>
    <w:p w:rsidR="00DB5B90" w:rsidRDefault="007D523C" w14:paraId="53926B22" w14:textId="77777777">
      <w:pPr>
        <w:pStyle w:val="Numberedlist"/>
        <w:numPr>
          <w:ilvl w:val="0"/>
          <w:numId w:val="7"/>
        </w:numPr>
      </w:pPr>
      <w:r>
        <w:t>Te Akatoki Strategic Plan</w:t>
      </w:r>
    </w:p>
    <w:p w:rsidR="00DB5B90" w:rsidRDefault="007D523C" w14:paraId="53926B23" w14:textId="77777777">
      <w:pPr>
        <w:pStyle w:val="Numberedlist"/>
        <w:numPr>
          <w:ilvl w:val="0"/>
          <w:numId w:val="7"/>
        </w:numPr>
      </w:pPr>
      <w:r>
        <w:t xml:space="preserve">Te Akatoki Annual Plan and Programme of Work </w:t>
      </w:r>
    </w:p>
    <w:p w:rsidR="00DB5B90" w:rsidRDefault="00DB5B90" w14:paraId="53926B24" w14:textId="77777777"/>
    <w:p w:rsidR="00DB5B90" w:rsidRDefault="007D523C" w14:paraId="53926B25" w14:textId="77777777">
      <w:pPr>
        <w:pStyle w:val="Heading2"/>
      </w:pPr>
      <w:r>
        <w:t>Review of policy</w:t>
      </w:r>
    </w:p>
    <w:p w:rsidR="00DB5B90" w:rsidRDefault="007D523C" w14:paraId="53926B26" w14:textId="77777777">
      <w:r>
        <w:t>This policy is due for review in August 2025.</w:t>
      </w:r>
    </w:p>
    <w:sectPr w:rsidR="00DB5B90">
      <w:footerReference w:type="default" r:id="rId8"/>
      <w:footerReference w:type="first" r:id="rId9"/>
      <w:type w:val="continuous"/>
      <w:pgSz w:w="12240" w:h="15840" w:orient="portrait"/>
      <w:pgMar w:top="1440" w:right="1800" w:bottom="1440" w:left="180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7D523C" w:rsidRDefault="007D523C" w14:paraId="53926B31" w14:textId="77777777">
      <w:r>
        <w:separator/>
      </w:r>
    </w:p>
  </w:endnote>
  <w:endnote w:type="continuationSeparator" w:id="0">
    <w:p w:rsidR="007D523C" w:rsidRDefault="007D523C" w14:paraId="53926B33"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B5B90" w:rsidRDefault="007D523C" w14:paraId="53926B2B" w14:textId="77777777">
    <w:pPr>
      <w:pStyle w:val="Footer"/>
    </w:pPr>
    <w:r>
      <w:rPr>
        <w:rFonts w:cs="Times New Roman"/>
      </w:rPr>
      <w:fldChar w:fldCharType="begin"/>
    </w:r>
    <w:r>
      <w:rPr>
        <w:rFonts w:cs="Times New Roman"/>
      </w:rPr>
      <w:instrText xml:space="preserve"> FILENAME \* MERGEFORMAT </w:instrText>
    </w:r>
    <w:r>
      <w:rPr>
        <w:rFonts w:cs="Times New Roman"/>
      </w:rPr>
      <w:fldChar w:fldCharType="separate"/>
    </w:r>
    <w:r>
      <w:rPr>
        <w:rFonts w:cs="Times New Roman"/>
      </w:rPr>
      <w:t>Te Akatoki Honorarium Policy</w:t>
    </w:r>
    <w:r>
      <w:fldChar w:fldCharType="end"/>
    </w:r>
    <w:r>
      <w:tab/>
    </w:r>
    <w:r>
      <w:tab/>
    </w:r>
    <w:r>
      <w:t xml:space="preserve">Page </w:t>
    </w:r>
    <w:r>
      <w:rPr>
        <w:b/>
        <w:bCs/>
      </w:rPr>
      <w:fldChar w:fldCharType="begin"/>
    </w:r>
    <w:r>
      <w:rPr>
        <w:b/>
        <w:bCs/>
      </w:rPr>
      <w:instrText>PAGE  \* Arabic  \* MERGEFORMAT</w:instrText>
    </w:r>
    <w:r>
      <w:rPr>
        <w:b/>
        <w:bCs/>
      </w:rPr>
      <w:fldChar w:fldCharType="separate"/>
    </w:r>
    <w:r>
      <w:rPr>
        <w:b/>
        <w:bCs/>
      </w:rPr>
      <w:t>1</w:t>
    </w:r>
    <w:r>
      <w:fldChar w:fldCharType="end"/>
    </w:r>
    <w:r>
      <w:t xml:space="preserve"> of </w:t>
    </w:r>
    <w:r>
      <w:rPr>
        <w:b/>
        <w:bCs/>
      </w:rPr>
      <w:fldChar w:fldCharType="begin"/>
    </w:r>
    <w:r>
      <w:rPr>
        <w:b/>
        <w:bCs/>
      </w:rPr>
      <w:instrText>NUMPAGES  \* Arabic  \* MERGEFORMAT</w:instrText>
    </w:r>
    <w:r>
      <w:rPr>
        <w:b/>
        <w:bCs/>
      </w:rPr>
      <w:fldChar w:fldCharType="separate"/>
    </w:r>
    <w:r>
      <w:rPr>
        <w:b/>
        <w:bCs/>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B5B90" w:rsidRDefault="007D523C" w14:paraId="53926B2C" w14:textId="77777777">
    <w:pPr>
      <w:pStyle w:val="BodyText"/>
    </w:pPr>
    <w:r>
      <w:t>TE</w:t>
    </w:r>
    <w:r>
      <w:rPr>
        <w:spacing w:val="-8"/>
      </w:rPr>
      <w:t xml:space="preserve"> </w:t>
    </w:r>
    <w:r>
      <w:t>AKATOKI</w:t>
    </w:r>
    <w:r>
      <w:rPr>
        <w:spacing w:val="-8"/>
      </w:rPr>
      <w:t xml:space="preserve"> </w:t>
    </w:r>
    <w:r>
      <w:t>O</w:t>
    </w:r>
    <w:r>
      <w:rPr>
        <w:spacing w:val="-9"/>
      </w:rPr>
      <w:t xml:space="preserve"> </w:t>
    </w:r>
    <w:r>
      <w:t>TE</w:t>
    </w:r>
    <w:r>
      <w:rPr>
        <w:spacing w:val="-8"/>
      </w:rPr>
      <w:t xml:space="preserve"> </w:t>
    </w:r>
    <w:r>
      <w:t>WHARE</w:t>
    </w:r>
    <w:r>
      <w:rPr>
        <w:spacing w:val="-8"/>
      </w:rPr>
      <w:t xml:space="preserve"> </w:t>
    </w:r>
    <w:r>
      <w:t>W</w:t>
    </w:r>
    <w:r>
      <w:rPr>
        <w:rFonts w:cs="Calibri"/>
      </w:rPr>
      <w:t>Ā</w:t>
    </w:r>
    <w:r>
      <w:t>NANGA O WAITAHA (M</w:t>
    </w:r>
    <w:r>
      <w:rPr>
        <w:rFonts w:cs="Calibri"/>
      </w:rPr>
      <w:t>Ā</w:t>
    </w:r>
    <w:r>
      <w:t>ORI STUDENTS</w:t>
    </w:r>
    <w:r>
      <w:rPr>
        <w:rFonts w:ascii="Lucida Sans" w:hAnsi="Lucida Sans" w:cs="Lucida Sans"/>
      </w:rPr>
      <w:t>’</w:t>
    </w:r>
    <w:r>
      <w:t xml:space="preserve"> ASSOCIATION) INCORPORATED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7D523C" w:rsidRDefault="007D523C" w14:paraId="53926B2D" w14:textId="77777777">
      <w:r>
        <w:separator/>
      </w:r>
    </w:p>
  </w:footnote>
  <w:footnote w:type="continuationSeparator" w:id="0">
    <w:p w:rsidR="007D523C" w:rsidRDefault="007D523C" w14:paraId="53926B2F"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5412B3"/>
    <w:multiLevelType w:val="hybridMultilevel"/>
    <w:tmpl w:val="2B2459A2"/>
    <w:lvl w:ilvl="0" w:tplc="330CA220">
      <w:start w:val="1"/>
      <w:numFmt w:val="decimal"/>
      <w:lvlText w:val="%1."/>
      <w:lvlJc w:val="left"/>
      <w:pPr>
        <w:ind w:left="1221" w:hanging="360"/>
      </w:pPr>
    </w:lvl>
    <w:lvl w:ilvl="1" w:tplc="1646F116" w:tentative="1">
      <w:start w:val="1"/>
      <w:numFmt w:val="lowerLetter"/>
      <w:lvlText w:val="%2."/>
      <w:lvlJc w:val="left"/>
      <w:pPr>
        <w:ind w:left="1941" w:hanging="360"/>
      </w:pPr>
    </w:lvl>
    <w:lvl w:ilvl="2" w:tplc="9172420E" w:tentative="1">
      <w:start w:val="1"/>
      <w:numFmt w:val="lowerRoman"/>
      <w:lvlText w:val="%3."/>
      <w:lvlJc w:val="right"/>
      <w:pPr>
        <w:ind w:left="2662" w:hanging="360"/>
      </w:pPr>
    </w:lvl>
    <w:lvl w:ilvl="3" w:tplc="7758DCF2" w:tentative="1">
      <w:start w:val="1"/>
      <w:numFmt w:val="decimal"/>
      <w:lvlText w:val="%4."/>
      <w:lvlJc w:val="left"/>
      <w:pPr>
        <w:ind w:left="3382" w:hanging="360"/>
      </w:pPr>
    </w:lvl>
    <w:lvl w:ilvl="4" w:tplc="E93C42FC" w:tentative="1">
      <w:start w:val="1"/>
      <w:numFmt w:val="lowerLetter"/>
      <w:lvlText w:val="%5."/>
      <w:lvlJc w:val="left"/>
      <w:pPr>
        <w:ind w:left="4102" w:hanging="360"/>
      </w:pPr>
    </w:lvl>
    <w:lvl w:ilvl="5" w:tplc="2FCCFF3C" w:tentative="1">
      <w:start w:val="1"/>
      <w:numFmt w:val="lowerRoman"/>
      <w:lvlText w:val="%6."/>
      <w:lvlJc w:val="right"/>
      <w:pPr>
        <w:ind w:left="4822" w:hanging="360"/>
      </w:pPr>
    </w:lvl>
    <w:lvl w:ilvl="6" w:tplc="3F945F4E" w:tentative="1">
      <w:start w:val="1"/>
      <w:numFmt w:val="decimal"/>
      <w:lvlText w:val="%7."/>
      <w:lvlJc w:val="left"/>
      <w:pPr>
        <w:ind w:left="5542" w:hanging="360"/>
      </w:pPr>
    </w:lvl>
    <w:lvl w:ilvl="7" w:tplc="C5A83742" w:tentative="1">
      <w:start w:val="1"/>
      <w:numFmt w:val="lowerLetter"/>
      <w:lvlText w:val="%8."/>
      <w:lvlJc w:val="left"/>
      <w:pPr>
        <w:ind w:left="6262" w:hanging="360"/>
      </w:pPr>
    </w:lvl>
    <w:lvl w:ilvl="8" w:tplc="2E549918" w:tentative="1">
      <w:start w:val="1"/>
      <w:numFmt w:val="lowerRoman"/>
      <w:lvlText w:val="%9."/>
      <w:lvlJc w:val="right"/>
      <w:pPr>
        <w:ind w:left="6982" w:hanging="360"/>
      </w:pPr>
    </w:lvl>
  </w:abstractNum>
  <w:abstractNum w:abstractNumId="1" w15:restartNumberingAfterBreak="0">
    <w:nsid w:val="1A2241DD"/>
    <w:multiLevelType w:val="hybridMultilevel"/>
    <w:tmpl w:val="DA38181C"/>
    <w:lvl w:ilvl="0" w:tplc="6BAE93E0">
      <w:start w:val="1"/>
      <w:numFmt w:val="decimal"/>
      <w:pStyle w:val="Numberedlist"/>
      <w:lvlText w:val="%1."/>
      <w:lvlJc w:val="left"/>
      <w:pPr>
        <w:ind w:left="502" w:hanging="360"/>
      </w:pPr>
      <w:rPr>
        <w:rFonts w:hint="default"/>
        <w:i w:val="0"/>
        <w:iCs w:val="0"/>
      </w:rPr>
    </w:lvl>
    <w:lvl w:ilvl="1" w:tplc="85A6B5E8">
      <w:start w:val="1"/>
      <w:numFmt w:val="lowerLetter"/>
      <w:lvlText w:val="%2."/>
      <w:lvlJc w:val="left"/>
      <w:pPr>
        <w:ind w:left="1080" w:hanging="360"/>
      </w:pPr>
    </w:lvl>
    <w:lvl w:ilvl="2" w:tplc="16C4B08C" w:tentative="1">
      <w:start w:val="1"/>
      <w:numFmt w:val="lowerRoman"/>
      <w:lvlText w:val="%3."/>
      <w:lvlJc w:val="right"/>
      <w:pPr>
        <w:ind w:left="1800" w:hanging="180"/>
      </w:pPr>
    </w:lvl>
    <w:lvl w:ilvl="3" w:tplc="598E3782" w:tentative="1">
      <w:start w:val="1"/>
      <w:numFmt w:val="decimal"/>
      <w:lvlText w:val="%4."/>
      <w:lvlJc w:val="left"/>
      <w:pPr>
        <w:ind w:left="2520" w:hanging="360"/>
      </w:pPr>
    </w:lvl>
    <w:lvl w:ilvl="4" w:tplc="E4B0DD24" w:tentative="1">
      <w:start w:val="1"/>
      <w:numFmt w:val="lowerLetter"/>
      <w:lvlText w:val="%5."/>
      <w:lvlJc w:val="left"/>
      <w:pPr>
        <w:ind w:left="3240" w:hanging="360"/>
      </w:pPr>
    </w:lvl>
    <w:lvl w:ilvl="5" w:tplc="2C8C6818" w:tentative="1">
      <w:start w:val="1"/>
      <w:numFmt w:val="lowerRoman"/>
      <w:lvlText w:val="%6."/>
      <w:lvlJc w:val="right"/>
      <w:pPr>
        <w:ind w:left="3960" w:hanging="180"/>
      </w:pPr>
    </w:lvl>
    <w:lvl w:ilvl="6" w:tplc="01520F68" w:tentative="1">
      <w:start w:val="1"/>
      <w:numFmt w:val="decimal"/>
      <w:lvlText w:val="%7."/>
      <w:lvlJc w:val="left"/>
      <w:pPr>
        <w:ind w:left="4680" w:hanging="360"/>
      </w:pPr>
    </w:lvl>
    <w:lvl w:ilvl="7" w:tplc="7ECE3254" w:tentative="1">
      <w:start w:val="1"/>
      <w:numFmt w:val="lowerLetter"/>
      <w:lvlText w:val="%8."/>
      <w:lvlJc w:val="left"/>
      <w:pPr>
        <w:ind w:left="5400" w:hanging="360"/>
      </w:pPr>
    </w:lvl>
    <w:lvl w:ilvl="8" w:tplc="1AEC0F70" w:tentative="1">
      <w:start w:val="1"/>
      <w:numFmt w:val="lowerRoman"/>
      <w:lvlText w:val="%9."/>
      <w:lvlJc w:val="right"/>
      <w:pPr>
        <w:ind w:left="6120" w:hanging="180"/>
      </w:pPr>
    </w:lvl>
  </w:abstractNum>
  <w:abstractNum w:abstractNumId="2" w15:restartNumberingAfterBreak="0">
    <w:nsid w:val="22432149"/>
    <w:multiLevelType w:val="hybridMultilevel"/>
    <w:tmpl w:val="5DCA8B9C"/>
    <w:lvl w:ilvl="0" w:tplc="81005F00">
      <w:start w:val="1"/>
      <w:numFmt w:val="bullet"/>
      <w:lvlText w:val=""/>
      <w:lvlJc w:val="left"/>
      <w:pPr>
        <w:ind w:left="720" w:hanging="360"/>
      </w:pPr>
      <w:rPr>
        <w:rFonts w:hint="default" w:ascii="Symbol" w:hAnsi="Symbol"/>
      </w:rPr>
    </w:lvl>
    <w:lvl w:ilvl="1" w:tplc="DF0C8900" w:tentative="1">
      <w:start w:val="1"/>
      <w:numFmt w:val="bullet"/>
      <w:lvlText w:val="o"/>
      <w:lvlJc w:val="left"/>
      <w:pPr>
        <w:ind w:left="1440" w:hanging="360"/>
      </w:pPr>
      <w:rPr>
        <w:rFonts w:hint="default" w:ascii="Courier New" w:hAnsi="Courier New" w:cs="Courier New"/>
      </w:rPr>
    </w:lvl>
    <w:lvl w:ilvl="2" w:tplc="50FC4AB4" w:tentative="1">
      <w:start w:val="1"/>
      <w:numFmt w:val="bullet"/>
      <w:lvlText w:val=""/>
      <w:lvlJc w:val="left"/>
      <w:pPr>
        <w:ind w:left="2160" w:hanging="360"/>
      </w:pPr>
      <w:rPr>
        <w:rFonts w:hint="default" w:ascii="Wingdings" w:hAnsi="Wingdings"/>
      </w:rPr>
    </w:lvl>
    <w:lvl w:ilvl="3" w:tplc="3A5EBAB6" w:tentative="1">
      <w:start w:val="1"/>
      <w:numFmt w:val="bullet"/>
      <w:lvlText w:val=""/>
      <w:lvlJc w:val="left"/>
      <w:pPr>
        <w:ind w:left="2880" w:hanging="360"/>
      </w:pPr>
      <w:rPr>
        <w:rFonts w:hint="default" w:ascii="Symbol" w:hAnsi="Symbol"/>
      </w:rPr>
    </w:lvl>
    <w:lvl w:ilvl="4" w:tplc="648CDC82" w:tentative="1">
      <w:start w:val="1"/>
      <w:numFmt w:val="bullet"/>
      <w:lvlText w:val="o"/>
      <w:lvlJc w:val="left"/>
      <w:pPr>
        <w:ind w:left="3600" w:hanging="360"/>
      </w:pPr>
      <w:rPr>
        <w:rFonts w:hint="default" w:ascii="Courier New" w:hAnsi="Courier New" w:cs="Courier New"/>
      </w:rPr>
    </w:lvl>
    <w:lvl w:ilvl="5" w:tplc="F52C42CA" w:tentative="1">
      <w:start w:val="1"/>
      <w:numFmt w:val="bullet"/>
      <w:lvlText w:val=""/>
      <w:lvlJc w:val="left"/>
      <w:pPr>
        <w:ind w:left="4320" w:hanging="360"/>
      </w:pPr>
      <w:rPr>
        <w:rFonts w:hint="default" w:ascii="Wingdings" w:hAnsi="Wingdings"/>
      </w:rPr>
    </w:lvl>
    <w:lvl w:ilvl="6" w:tplc="95A0963A" w:tentative="1">
      <w:start w:val="1"/>
      <w:numFmt w:val="bullet"/>
      <w:lvlText w:val=""/>
      <w:lvlJc w:val="left"/>
      <w:pPr>
        <w:ind w:left="5040" w:hanging="360"/>
      </w:pPr>
      <w:rPr>
        <w:rFonts w:hint="default" w:ascii="Symbol" w:hAnsi="Symbol"/>
      </w:rPr>
    </w:lvl>
    <w:lvl w:ilvl="7" w:tplc="A3C2E650" w:tentative="1">
      <w:start w:val="1"/>
      <w:numFmt w:val="bullet"/>
      <w:lvlText w:val="o"/>
      <w:lvlJc w:val="left"/>
      <w:pPr>
        <w:ind w:left="5760" w:hanging="360"/>
      </w:pPr>
      <w:rPr>
        <w:rFonts w:hint="default" w:ascii="Courier New" w:hAnsi="Courier New" w:cs="Courier New"/>
      </w:rPr>
    </w:lvl>
    <w:lvl w:ilvl="8" w:tplc="3C284458" w:tentative="1">
      <w:start w:val="1"/>
      <w:numFmt w:val="bullet"/>
      <w:lvlText w:val=""/>
      <w:lvlJc w:val="left"/>
      <w:pPr>
        <w:ind w:left="6480" w:hanging="360"/>
      </w:pPr>
      <w:rPr>
        <w:rFonts w:hint="default" w:ascii="Wingdings" w:hAnsi="Wingdings"/>
      </w:rPr>
    </w:lvl>
  </w:abstractNum>
  <w:abstractNum w:abstractNumId="3" w15:restartNumberingAfterBreak="0">
    <w:nsid w:val="33126AED"/>
    <w:multiLevelType w:val="hybridMultilevel"/>
    <w:tmpl w:val="9D485BB6"/>
    <w:lvl w:ilvl="0" w:tplc="E6A0036E">
      <w:start w:val="1"/>
      <w:numFmt w:val="decimal"/>
      <w:lvlText w:val="%1."/>
      <w:lvlJc w:val="left"/>
      <w:pPr>
        <w:ind w:left="1077" w:hanging="360"/>
      </w:pPr>
    </w:lvl>
    <w:lvl w:ilvl="1" w:tplc="CBD0685E" w:tentative="1">
      <w:start w:val="1"/>
      <w:numFmt w:val="lowerLetter"/>
      <w:lvlText w:val="%2."/>
      <w:lvlJc w:val="left"/>
      <w:pPr>
        <w:ind w:left="1797" w:hanging="360"/>
      </w:pPr>
    </w:lvl>
    <w:lvl w:ilvl="2" w:tplc="704455EC" w:tentative="1">
      <w:start w:val="1"/>
      <w:numFmt w:val="lowerRoman"/>
      <w:lvlText w:val="%3."/>
      <w:lvlJc w:val="right"/>
      <w:pPr>
        <w:ind w:left="2517" w:hanging="180"/>
      </w:pPr>
    </w:lvl>
    <w:lvl w:ilvl="3" w:tplc="9EA6F79C" w:tentative="1">
      <w:start w:val="1"/>
      <w:numFmt w:val="decimal"/>
      <w:lvlText w:val="%4."/>
      <w:lvlJc w:val="left"/>
      <w:pPr>
        <w:ind w:left="3237" w:hanging="360"/>
      </w:pPr>
    </w:lvl>
    <w:lvl w:ilvl="4" w:tplc="AD02D7AA" w:tentative="1">
      <w:start w:val="1"/>
      <w:numFmt w:val="lowerLetter"/>
      <w:lvlText w:val="%5."/>
      <w:lvlJc w:val="left"/>
      <w:pPr>
        <w:ind w:left="3957" w:hanging="360"/>
      </w:pPr>
    </w:lvl>
    <w:lvl w:ilvl="5" w:tplc="2D00E792" w:tentative="1">
      <w:start w:val="1"/>
      <w:numFmt w:val="lowerRoman"/>
      <w:lvlText w:val="%6."/>
      <w:lvlJc w:val="right"/>
      <w:pPr>
        <w:ind w:left="4677" w:hanging="180"/>
      </w:pPr>
    </w:lvl>
    <w:lvl w:ilvl="6" w:tplc="8BD87AB0" w:tentative="1">
      <w:start w:val="1"/>
      <w:numFmt w:val="decimal"/>
      <w:lvlText w:val="%7."/>
      <w:lvlJc w:val="left"/>
      <w:pPr>
        <w:ind w:left="5397" w:hanging="360"/>
      </w:pPr>
    </w:lvl>
    <w:lvl w:ilvl="7" w:tplc="10562644" w:tentative="1">
      <w:start w:val="1"/>
      <w:numFmt w:val="lowerLetter"/>
      <w:lvlText w:val="%8."/>
      <w:lvlJc w:val="left"/>
      <w:pPr>
        <w:ind w:left="6117" w:hanging="360"/>
      </w:pPr>
    </w:lvl>
    <w:lvl w:ilvl="8" w:tplc="693CC224" w:tentative="1">
      <w:start w:val="1"/>
      <w:numFmt w:val="lowerRoman"/>
      <w:lvlText w:val="%9."/>
      <w:lvlJc w:val="right"/>
      <w:pPr>
        <w:ind w:left="6837" w:hanging="180"/>
      </w:pPr>
    </w:lvl>
  </w:abstractNum>
  <w:abstractNum w:abstractNumId="4" w15:restartNumberingAfterBreak="0">
    <w:nsid w:val="4B1824C9"/>
    <w:multiLevelType w:val="hybridMultilevel"/>
    <w:tmpl w:val="B650A7DA"/>
    <w:lvl w:ilvl="0" w:tplc="D56E9EF4">
      <w:start w:val="1"/>
      <w:numFmt w:val="decimal"/>
      <w:lvlText w:val="%1."/>
      <w:lvlJc w:val="left"/>
      <w:pPr>
        <w:ind w:left="720" w:hanging="360"/>
      </w:pPr>
      <w:rPr>
        <w:rFonts w:hint="default"/>
      </w:rPr>
    </w:lvl>
    <w:lvl w:ilvl="1" w:tplc="A38CDC6A" w:tentative="1">
      <w:start w:val="1"/>
      <w:numFmt w:val="lowerLetter"/>
      <w:lvlText w:val="%2."/>
      <w:lvlJc w:val="left"/>
      <w:pPr>
        <w:ind w:left="1440" w:hanging="360"/>
      </w:pPr>
    </w:lvl>
    <w:lvl w:ilvl="2" w:tplc="83C0E4AA" w:tentative="1">
      <w:start w:val="1"/>
      <w:numFmt w:val="lowerRoman"/>
      <w:lvlText w:val="%3."/>
      <w:lvlJc w:val="right"/>
      <w:pPr>
        <w:ind w:left="2160" w:hanging="180"/>
      </w:pPr>
    </w:lvl>
    <w:lvl w:ilvl="3" w:tplc="FAC63F40" w:tentative="1">
      <w:start w:val="1"/>
      <w:numFmt w:val="decimal"/>
      <w:lvlText w:val="%4."/>
      <w:lvlJc w:val="left"/>
      <w:pPr>
        <w:ind w:left="2880" w:hanging="360"/>
      </w:pPr>
    </w:lvl>
    <w:lvl w:ilvl="4" w:tplc="0EDC573E" w:tentative="1">
      <w:start w:val="1"/>
      <w:numFmt w:val="lowerLetter"/>
      <w:lvlText w:val="%5."/>
      <w:lvlJc w:val="left"/>
      <w:pPr>
        <w:ind w:left="3600" w:hanging="360"/>
      </w:pPr>
    </w:lvl>
    <w:lvl w:ilvl="5" w:tplc="8084A5EC" w:tentative="1">
      <w:start w:val="1"/>
      <w:numFmt w:val="lowerRoman"/>
      <w:lvlText w:val="%6."/>
      <w:lvlJc w:val="right"/>
      <w:pPr>
        <w:ind w:left="4320" w:hanging="180"/>
      </w:pPr>
    </w:lvl>
    <w:lvl w:ilvl="6" w:tplc="F5067A1A" w:tentative="1">
      <w:start w:val="1"/>
      <w:numFmt w:val="decimal"/>
      <w:lvlText w:val="%7."/>
      <w:lvlJc w:val="left"/>
      <w:pPr>
        <w:ind w:left="5040" w:hanging="360"/>
      </w:pPr>
    </w:lvl>
    <w:lvl w:ilvl="7" w:tplc="CC0EE304" w:tentative="1">
      <w:start w:val="1"/>
      <w:numFmt w:val="lowerLetter"/>
      <w:lvlText w:val="%8."/>
      <w:lvlJc w:val="left"/>
      <w:pPr>
        <w:ind w:left="5760" w:hanging="360"/>
      </w:pPr>
    </w:lvl>
    <w:lvl w:ilvl="8" w:tplc="9740D6DE" w:tentative="1">
      <w:start w:val="1"/>
      <w:numFmt w:val="lowerRoman"/>
      <w:lvlText w:val="%9."/>
      <w:lvlJc w:val="right"/>
      <w:pPr>
        <w:ind w:left="6480" w:hanging="180"/>
      </w:pPr>
    </w:lvl>
  </w:abstractNum>
  <w:abstractNum w:abstractNumId="5" w15:restartNumberingAfterBreak="0">
    <w:nsid w:val="616703FD"/>
    <w:multiLevelType w:val="hybridMultilevel"/>
    <w:tmpl w:val="4ED0DE34"/>
    <w:lvl w:ilvl="0" w:tplc="16949CC2">
      <w:start w:val="1"/>
      <w:numFmt w:val="bullet"/>
      <w:pStyle w:val="ListParagraph"/>
      <w:lvlText w:val=""/>
      <w:lvlJc w:val="left"/>
      <w:pPr>
        <w:ind w:left="499" w:hanging="360"/>
      </w:pPr>
      <w:rPr>
        <w:rFonts w:hint="default" w:ascii="Symbol" w:hAnsi="Symbol"/>
      </w:rPr>
    </w:lvl>
    <w:lvl w:ilvl="1" w:tplc="69600588" w:tentative="1">
      <w:start w:val="1"/>
      <w:numFmt w:val="bullet"/>
      <w:lvlText w:val="o"/>
      <w:lvlJc w:val="left"/>
      <w:pPr>
        <w:ind w:left="1219" w:hanging="360"/>
      </w:pPr>
      <w:rPr>
        <w:rFonts w:hint="default" w:ascii="Courier New" w:hAnsi="Courier New" w:cs="Courier New"/>
      </w:rPr>
    </w:lvl>
    <w:lvl w:ilvl="2" w:tplc="8EBADA9E" w:tentative="1">
      <w:start w:val="1"/>
      <w:numFmt w:val="bullet"/>
      <w:lvlText w:val=""/>
      <w:lvlJc w:val="left"/>
      <w:pPr>
        <w:ind w:left="1939" w:hanging="360"/>
      </w:pPr>
      <w:rPr>
        <w:rFonts w:hint="default" w:ascii="Wingdings" w:hAnsi="Wingdings"/>
      </w:rPr>
    </w:lvl>
    <w:lvl w:ilvl="3" w:tplc="57AE1AA2" w:tentative="1">
      <w:start w:val="1"/>
      <w:numFmt w:val="bullet"/>
      <w:lvlText w:val=""/>
      <w:lvlJc w:val="left"/>
      <w:pPr>
        <w:ind w:left="2659" w:hanging="360"/>
      </w:pPr>
      <w:rPr>
        <w:rFonts w:hint="default" w:ascii="Symbol" w:hAnsi="Symbol"/>
      </w:rPr>
    </w:lvl>
    <w:lvl w:ilvl="4" w:tplc="27540ABC" w:tentative="1">
      <w:start w:val="1"/>
      <w:numFmt w:val="bullet"/>
      <w:lvlText w:val="o"/>
      <w:lvlJc w:val="left"/>
      <w:pPr>
        <w:ind w:left="3379" w:hanging="360"/>
      </w:pPr>
      <w:rPr>
        <w:rFonts w:hint="default" w:ascii="Courier New" w:hAnsi="Courier New" w:cs="Courier New"/>
      </w:rPr>
    </w:lvl>
    <w:lvl w:ilvl="5" w:tplc="3FE6A4E4" w:tentative="1">
      <w:start w:val="1"/>
      <w:numFmt w:val="bullet"/>
      <w:lvlText w:val=""/>
      <w:lvlJc w:val="left"/>
      <w:pPr>
        <w:ind w:left="4099" w:hanging="360"/>
      </w:pPr>
      <w:rPr>
        <w:rFonts w:hint="default" w:ascii="Wingdings" w:hAnsi="Wingdings"/>
      </w:rPr>
    </w:lvl>
    <w:lvl w:ilvl="6" w:tplc="497ECD68" w:tentative="1">
      <w:start w:val="1"/>
      <w:numFmt w:val="bullet"/>
      <w:lvlText w:val=""/>
      <w:lvlJc w:val="left"/>
      <w:pPr>
        <w:ind w:left="4819" w:hanging="360"/>
      </w:pPr>
      <w:rPr>
        <w:rFonts w:hint="default" w:ascii="Symbol" w:hAnsi="Symbol"/>
      </w:rPr>
    </w:lvl>
    <w:lvl w:ilvl="7" w:tplc="A2AE9F94" w:tentative="1">
      <w:start w:val="1"/>
      <w:numFmt w:val="bullet"/>
      <w:lvlText w:val="o"/>
      <w:lvlJc w:val="left"/>
      <w:pPr>
        <w:ind w:left="5539" w:hanging="360"/>
      </w:pPr>
      <w:rPr>
        <w:rFonts w:hint="default" w:ascii="Courier New" w:hAnsi="Courier New" w:cs="Courier New"/>
      </w:rPr>
    </w:lvl>
    <w:lvl w:ilvl="8" w:tplc="7E864734" w:tentative="1">
      <w:start w:val="1"/>
      <w:numFmt w:val="bullet"/>
      <w:lvlText w:val=""/>
      <w:lvlJc w:val="left"/>
      <w:pPr>
        <w:ind w:left="6259" w:hanging="360"/>
      </w:pPr>
      <w:rPr>
        <w:rFonts w:hint="default" w:ascii="Wingdings" w:hAnsi="Wingdings"/>
      </w:rPr>
    </w:lvl>
  </w:abstractNum>
  <w:abstractNum w:abstractNumId="6" w15:restartNumberingAfterBreak="0">
    <w:nsid w:val="74356DFF"/>
    <w:multiLevelType w:val="hybridMultilevel"/>
    <w:tmpl w:val="4A00329C"/>
    <w:lvl w:ilvl="0" w:tplc="02A60FFE">
      <w:start w:val="1"/>
      <w:numFmt w:val="decimal"/>
      <w:lvlText w:val="%1."/>
      <w:lvlJc w:val="left"/>
      <w:pPr>
        <w:ind w:left="720" w:hanging="360"/>
      </w:pPr>
    </w:lvl>
    <w:lvl w:ilvl="1" w:tplc="C9DC88A4" w:tentative="1">
      <w:start w:val="1"/>
      <w:numFmt w:val="lowerLetter"/>
      <w:lvlText w:val="%2."/>
      <w:lvlJc w:val="left"/>
      <w:pPr>
        <w:ind w:left="1440" w:hanging="360"/>
      </w:pPr>
    </w:lvl>
    <w:lvl w:ilvl="2" w:tplc="921491C6" w:tentative="1">
      <w:start w:val="1"/>
      <w:numFmt w:val="lowerRoman"/>
      <w:lvlText w:val="%3."/>
      <w:lvlJc w:val="right"/>
      <w:pPr>
        <w:ind w:left="2160" w:hanging="360"/>
      </w:pPr>
    </w:lvl>
    <w:lvl w:ilvl="3" w:tplc="F4E46692" w:tentative="1">
      <w:start w:val="1"/>
      <w:numFmt w:val="decimal"/>
      <w:lvlText w:val="%4."/>
      <w:lvlJc w:val="left"/>
      <w:pPr>
        <w:ind w:left="2880" w:hanging="360"/>
      </w:pPr>
    </w:lvl>
    <w:lvl w:ilvl="4" w:tplc="86226B0E" w:tentative="1">
      <w:start w:val="1"/>
      <w:numFmt w:val="lowerLetter"/>
      <w:lvlText w:val="%5."/>
      <w:lvlJc w:val="left"/>
      <w:pPr>
        <w:ind w:left="3600" w:hanging="360"/>
      </w:pPr>
    </w:lvl>
    <w:lvl w:ilvl="5" w:tplc="72B03BF8" w:tentative="1">
      <w:start w:val="1"/>
      <w:numFmt w:val="lowerRoman"/>
      <w:lvlText w:val="%6."/>
      <w:lvlJc w:val="right"/>
      <w:pPr>
        <w:ind w:left="4320" w:hanging="360"/>
      </w:pPr>
    </w:lvl>
    <w:lvl w:ilvl="6" w:tplc="F49C8A40" w:tentative="1">
      <w:start w:val="1"/>
      <w:numFmt w:val="decimal"/>
      <w:lvlText w:val="%7."/>
      <w:lvlJc w:val="left"/>
      <w:pPr>
        <w:ind w:left="5040" w:hanging="360"/>
      </w:pPr>
    </w:lvl>
    <w:lvl w:ilvl="7" w:tplc="64FC7736" w:tentative="1">
      <w:start w:val="1"/>
      <w:numFmt w:val="lowerLetter"/>
      <w:lvlText w:val="%8."/>
      <w:lvlJc w:val="left"/>
      <w:pPr>
        <w:ind w:left="5760" w:hanging="360"/>
      </w:pPr>
    </w:lvl>
    <w:lvl w:ilvl="8" w:tplc="F1889E18" w:tentative="1">
      <w:start w:val="1"/>
      <w:numFmt w:val="lowerRoman"/>
      <w:lvlText w:val="%9."/>
      <w:lvlJc w:val="right"/>
      <w:pPr>
        <w:ind w:left="6480" w:hanging="360"/>
      </w:pPr>
    </w:lvl>
  </w:abstractNum>
  <w:num w:numId="1" w16cid:durableId="1127043847">
    <w:abstractNumId w:val="1"/>
    <w:lvlOverride w:ilvl="0">
      <w:startOverride w:val="1"/>
    </w:lvlOverride>
  </w:num>
  <w:num w:numId="2" w16cid:durableId="1705985243">
    <w:abstractNumId w:val="1"/>
  </w:num>
  <w:num w:numId="3" w16cid:durableId="1230965707">
    <w:abstractNumId w:val="4"/>
  </w:num>
  <w:num w:numId="4" w16cid:durableId="2134983592">
    <w:abstractNumId w:val="1"/>
    <w:lvlOverride w:ilvl="0">
      <w:startOverride w:val="1"/>
    </w:lvlOverride>
  </w:num>
  <w:num w:numId="5" w16cid:durableId="449476060">
    <w:abstractNumId w:val="1"/>
    <w:lvlOverride w:ilvl="0">
      <w:startOverride w:val="1"/>
    </w:lvlOverride>
  </w:num>
  <w:num w:numId="6" w16cid:durableId="1741248173">
    <w:abstractNumId w:val="1"/>
    <w:lvlOverride w:ilvl="0">
      <w:startOverride w:val="1"/>
    </w:lvlOverride>
  </w:num>
  <w:num w:numId="7" w16cid:durableId="911548128">
    <w:abstractNumId w:val="2"/>
  </w:num>
  <w:num w:numId="8" w16cid:durableId="219949246">
    <w:abstractNumId w:val="1"/>
    <w:lvlOverride w:ilvl="0">
      <w:startOverride w:val="1"/>
    </w:lvlOverride>
  </w:num>
  <w:num w:numId="9" w16cid:durableId="2092196476">
    <w:abstractNumId w:val="5"/>
  </w:num>
  <w:num w:numId="10" w16cid:durableId="713820440">
    <w:abstractNumId w:val="1"/>
    <w:lvlOverride w:ilvl="0">
      <w:startOverride w:val="1"/>
    </w:lvlOverride>
  </w:num>
  <w:num w:numId="11" w16cid:durableId="248076139">
    <w:abstractNumId w:val="1"/>
    <w:lvlOverride w:ilvl="0">
      <w:startOverride w:val="1"/>
    </w:lvlOverride>
  </w:num>
  <w:num w:numId="12" w16cid:durableId="1649435052">
    <w:abstractNumId w:val="1"/>
  </w:num>
  <w:num w:numId="13" w16cid:durableId="795026841">
    <w:abstractNumId w:val="1"/>
    <w:lvlOverride w:ilvl="0">
      <w:startOverride w:val="1"/>
    </w:lvlOverride>
  </w:num>
  <w:num w:numId="14" w16cid:durableId="425544483">
    <w:abstractNumId w:val="1"/>
    <w:lvlOverride w:ilvl="0">
      <w:startOverride w:val="1"/>
    </w:lvlOverride>
  </w:num>
  <w:num w:numId="15" w16cid:durableId="9962472">
    <w:abstractNumId w:val="1"/>
    <w:lvlOverride w:ilvl="0">
      <w:startOverride w:val="1"/>
    </w:lvlOverride>
  </w:num>
  <w:num w:numId="16" w16cid:durableId="1223253714">
    <w:abstractNumId w:val="1"/>
    <w:lvlOverride w:ilvl="0">
      <w:startOverride w:val="1"/>
    </w:lvlOverride>
  </w:num>
  <w:num w:numId="17" w16cid:durableId="1041595234">
    <w:abstractNumId w:val="1"/>
  </w:num>
  <w:num w:numId="18" w16cid:durableId="401684300">
    <w:abstractNumId w:val="3"/>
  </w:num>
  <w:num w:numId="19" w16cid:durableId="980227881">
    <w:abstractNumId w:val="1"/>
    <w:lvlOverride w:ilvl="0">
      <w:startOverride w:val="1"/>
    </w:lvlOverride>
  </w:num>
  <w:num w:numId="20" w16cid:durableId="1894581509">
    <w:abstractNumId w:val="1"/>
    <w:lvlOverride w:ilvl="0">
      <w:startOverride w:val="1"/>
    </w:lvlOverride>
  </w:num>
  <w:num w:numId="21" w16cid:durableId="484248457">
    <w:abstractNumId w:val="1"/>
    <w:lvlOverride w:ilvl="0">
      <w:startOverride w:val="1"/>
    </w:lvlOverride>
  </w:num>
  <w:num w:numId="22" w16cid:durableId="302852215">
    <w:abstractNumId w:val="1"/>
  </w:num>
  <w:num w:numId="23" w16cid:durableId="685210717">
    <w:abstractNumId w:val="0"/>
  </w:num>
  <w:num w:numId="24" w16cid:durableId="1560818831">
    <w:abstractNumId w:val="6"/>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93"/>
  <w:trackRevisions w:val="false"/>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zCwtLA0Njc2tbQwMTZW0lEKTi0uzszPAykwrAUAMHacICwAAAA="/>
  </w:docVars>
  <w:rsids>
    <w:rsidRoot w:val="00DB5B90"/>
    <w:rsid w:val="004652C4"/>
    <w:rsid w:val="004D484D"/>
    <w:rsid w:val="007D523C"/>
    <w:rsid w:val="00844DF6"/>
    <w:rsid w:val="00DB5B90"/>
    <w:rsid w:val="7C8A8BE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26AA8"/>
  <w15:docId w15:val="{6E8E3B25-86CF-4C1A-B4EE-C5215AEC770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Calibri" w:hAnsi="Calibri" w:eastAsia="Calibri" w:cs="SimSun"/>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Lucida Sans" w:hAnsi="Lucida Sans" w:eastAsia="Palatino Linotype" w:cs="Palatino Linotype"/>
      <w:sz w:val="25"/>
      <w:lang w:val="en-NZ"/>
    </w:rPr>
  </w:style>
  <w:style w:type="paragraph" w:styleId="Heading1">
    <w:name w:val="heading 1"/>
    <w:basedOn w:val="Normal"/>
    <w:uiPriority w:val="9"/>
    <w:qFormat/>
    <w:pPr>
      <w:outlineLvl w:val="0"/>
    </w:pPr>
  </w:style>
  <w:style w:type="paragraph" w:styleId="Heading2">
    <w:name w:val="heading 2"/>
    <w:basedOn w:val="Heading1"/>
    <w:next w:val="Normal"/>
    <w:link w:val="Heading2Char1"/>
    <w:uiPriority w:val="9"/>
    <w:unhideWhenUsed/>
    <w:qFormat/>
    <w:pPr>
      <w:outlineLvl w:val="1"/>
    </w:pPr>
    <w:rPr>
      <w:sz w:val="32"/>
    </w:rPr>
  </w:style>
  <w:style w:type="paragraph" w:styleId="Heading3">
    <w:name w:val="heading 3"/>
    <w:basedOn w:val="Normal"/>
    <w:next w:val="Normal"/>
    <w:link w:val="Heading3Char1"/>
    <w:uiPriority w:val="9"/>
    <w:unhideWhenUsed/>
    <w:qFormat/>
    <w:pPr>
      <w:keepNext/>
      <w:keepLines/>
      <w:spacing w:before="40"/>
      <w:outlineLvl w:val="2"/>
    </w:pPr>
    <w:rPr>
      <w:rFonts w:eastAsia="SimSun" w:cs="SimSun"/>
      <w:b/>
      <w:color w:val="000000"/>
      <w:sz w:val="28"/>
      <w:szCs w:val="24"/>
      <w:u w:val="single"/>
    </w:rPr>
  </w:style>
  <w:style w:type="paragraph" w:styleId="Heading4">
    <w:name w:val="heading 4"/>
    <w:link w:val="Heading4Char"/>
    <w:uiPriority w:val="9"/>
    <w:semiHidden/>
    <w:unhideWhenUsed/>
    <w:qFormat/>
    <w:pPr>
      <w:keepNext/>
      <w:keepLines/>
      <w:spacing w:before="200"/>
      <w:outlineLvl w:val="3"/>
    </w:pPr>
    <w:rPr>
      <w:rFonts w:asciiTheme="majorHAnsi" w:hAnsiTheme="majorHAnsi" w:eastAsiaTheme="majorEastAsia" w:cstheme="majorBidi"/>
      <w:b/>
      <w:bCs/>
      <w:i/>
      <w:iCs/>
      <w:color w:val="4F81BD" w:themeColor="accent1"/>
    </w:rPr>
  </w:style>
  <w:style w:type="paragraph" w:styleId="Heading5">
    <w:name w:val="heading 5"/>
    <w:link w:val="Heading5Char"/>
    <w:uiPriority w:val="9"/>
    <w:semiHidden/>
    <w:unhideWhenUsed/>
    <w:qFormat/>
    <w:pPr>
      <w:keepNext/>
      <w:keepLines/>
      <w:spacing w:before="200"/>
      <w:outlineLvl w:val="4"/>
    </w:pPr>
    <w:rPr>
      <w:rFonts w:asciiTheme="majorHAnsi" w:hAnsiTheme="majorHAnsi" w:eastAsiaTheme="majorEastAsia" w:cstheme="majorBidi"/>
      <w:color w:val="243F60" w:themeColor="accent1" w:themeShade="7F"/>
    </w:rPr>
  </w:style>
  <w:style w:type="paragraph" w:styleId="Heading6">
    <w:name w:val="heading 6"/>
    <w:link w:val="Heading6Char"/>
    <w:uiPriority w:val="9"/>
    <w:semiHidden/>
    <w:unhideWhenUsed/>
    <w:qFormat/>
    <w:pPr>
      <w:keepNext/>
      <w:keepLines/>
      <w:spacing w:before="200"/>
      <w:outlineLvl w:val="5"/>
    </w:pPr>
    <w:rPr>
      <w:rFonts w:asciiTheme="majorHAnsi" w:hAnsiTheme="majorHAnsi" w:eastAsiaTheme="majorEastAsia" w:cstheme="majorBidi"/>
      <w:i/>
      <w:iCs/>
      <w:color w:val="243F60" w:themeColor="accent1" w:themeShade="7F"/>
    </w:rPr>
  </w:style>
  <w:style w:type="paragraph" w:styleId="Heading7">
    <w:name w:val="heading 7"/>
    <w:link w:val="Heading7Char"/>
    <w:uiPriority w:val="9"/>
    <w:semiHidden/>
    <w:unhideWhenUsed/>
    <w:qFormat/>
    <w:pPr>
      <w:keepNext/>
      <w:keepLines/>
      <w:spacing w:before="200"/>
      <w:outlineLvl w:val="6"/>
    </w:pPr>
    <w:rPr>
      <w:rFonts w:asciiTheme="majorHAnsi" w:hAnsiTheme="majorHAnsi" w:eastAsiaTheme="majorEastAsia" w:cstheme="majorBidi"/>
      <w:i/>
      <w:iCs/>
      <w:color w:val="404040" w:themeColor="text1" w:themeTint="BF"/>
    </w:rPr>
  </w:style>
  <w:style w:type="paragraph" w:styleId="Heading8">
    <w:name w:val="heading 8"/>
    <w:link w:val="Heading8Char"/>
    <w:uiPriority w:val="9"/>
    <w:semiHidden/>
    <w:unhideWhenUsed/>
    <w:qFormat/>
    <w:pPr>
      <w:keepNext/>
      <w:keepLines/>
      <w:spacing w:before="200"/>
      <w:outlineLvl w:val="7"/>
    </w:pPr>
    <w:rPr>
      <w:rFonts w:asciiTheme="majorHAnsi" w:hAnsiTheme="majorHAnsi" w:eastAsiaTheme="majorEastAsia" w:cstheme="majorBidi"/>
      <w:color w:val="404040" w:themeColor="text1" w:themeTint="BF"/>
      <w:sz w:val="20"/>
      <w:szCs w:val="20"/>
    </w:rPr>
  </w:style>
  <w:style w:type="paragraph" w:styleId="Heading9">
    <w:name w:val="heading 9"/>
    <w:link w:val="Heading9Char"/>
    <w:uiPriority w:val="9"/>
    <w:semiHidden/>
    <w:unhideWhenUsed/>
    <w:qFormat/>
    <w:pPr>
      <w:keepNext/>
      <w:keepLines/>
      <w:spacing w:before="200"/>
      <w:outlineLvl w:val="8"/>
    </w:pPr>
    <w:rPr>
      <w:rFonts w:asciiTheme="majorHAnsi" w:hAnsiTheme="majorHAnsi" w:eastAsiaTheme="majorEastAsia" w:cstheme="majorBidi"/>
      <w:i/>
      <w:iCs/>
      <w:color w:val="404040" w:themeColor="text1" w:themeTint="BF"/>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Spacing">
    <w:name w:val="No Spacing"/>
    <w:uiPriority w:val="1"/>
    <w:qFormat/>
  </w:style>
  <w:style w:type="character" w:styleId="Heading1Char" w:customStyle="1">
    <w:name w:val="Heading 1 Char"/>
    <w:uiPriority w:val="9"/>
    <w:rPr>
      <w:rFonts w:asciiTheme="majorHAnsi" w:hAnsiTheme="majorHAnsi" w:eastAsiaTheme="majorEastAsia" w:cstheme="majorBidi"/>
      <w:b/>
      <w:bCs/>
      <w:color w:val="365F91" w:themeColor="accent1" w:themeShade="BF"/>
      <w:sz w:val="28"/>
      <w:szCs w:val="28"/>
    </w:rPr>
  </w:style>
  <w:style w:type="character" w:styleId="Heading2Char" w:customStyle="1">
    <w:name w:val="Heading 2 Char"/>
    <w:uiPriority w:val="9"/>
    <w:rPr>
      <w:rFonts w:asciiTheme="majorHAnsi" w:hAnsiTheme="majorHAnsi" w:eastAsiaTheme="majorEastAsia" w:cstheme="majorBidi"/>
      <w:b/>
      <w:bCs/>
      <w:color w:val="4F81BD" w:themeColor="accent1"/>
      <w:sz w:val="26"/>
      <w:szCs w:val="26"/>
    </w:rPr>
  </w:style>
  <w:style w:type="character" w:styleId="Heading3Char" w:customStyle="1">
    <w:name w:val="Heading 3 Char"/>
    <w:uiPriority w:val="9"/>
    <w:rPr>
      <w:rFonts w:asciiTheme="majorHAnsi" w:hAnsiTheme="majorHAnsi" w:eastAsiaTheme="majorEastAsia" w:cstheme="majorBidi"/>
      <w:b/>
      <w:bCs/>
      <w:color w:val="4F81BD" w:themeColor="accent1"/>
    </w:rPr>
  </w:style>
  <w:style w:type="character" w:styleId="Heading4Char" w:customStyle="1">
    <w:name w:val="Heading 4 Char"/>
    <w:link w:val="Heading4"/>
    <w:uiPriority w:val="9"/>
    <w:rPr>
      <w:rFonts w:asciiTheme="majorHAnsi" w:hAnsiTheme="majorHAnsi" w:eastAsiaTheme="majorEastAsia" w:cstheme="majorBidi"/>
      <w:b/>
      <w:bCs/>
      <w:i/>
      <w:iCs/>
      <w:color w:val="4F81BD" w:themeColor="accent1"/>
    </w:rPr>
  </w:style>
  <w:style w:type="character" w:styleId="Heading5Char" w:customStyle="1">
    <w:name w:val="Heading 5 Char"/>
    <w:link w:val="Heading5"/>
    <w:uiPriority w:val="9"/>
    <w:rPr>
      <w:rFonts w:asciiTheme="majorHAnsi" w:hAnsiTheme="majorHAnsi" w:eastAsiaTheme="majorEastAsia" w:cstheme="majorBidi"/>
      <w:color w:val="243F60" w:themeColor="accent1" w:themeShade="7F"/>
    </w:rPr>
  </w:style>
  <w:style w:type="character" w:styleId="Heading6Char" w:customStyle="1">
    <w:name w:val="Heading 6 Char"/>
    <w:link w:val="Heading6"/>
    <w:uiPriority w:val="9"/>
    <w:rPr>
      <w:rFonts w:asciiTheme="majorHAnsi" w:hAnsiTheme="majorHAnsi" w:eastAsiaTheme="majorEastAsia" w:cstheme="majorBidi"/>
      <w:i/>
      <w:iCs/>
      <w:color w:val="243F60" w:themeColor="accent1" w:themeShade="7F"/>
    </w:rPr>
  </w:style>
  <w:style w:type="character" w:styleId="Heading7Char" w:customStyle="1">
    <w:name w:val="Heading 7 Char"/>
    <w:link w:val="Heading7"/>
    <w:uiPriority w:val="9"/>
    <w:rPr>
      <w:rFonts w:asciiTheme="majorHAnsi" w:hAnsiTheme="majorHAnsi" w:eastAsiaTheme="majorEastAsia" w:cstheme="majorBidi"/>
      <w:i/>
      <w:iCs/>
      <w:color w:val="404040" w:themeColor="text1" w:themeTint="BF"/>
    </w:rPr>
  </w:style>
  <w:style w:type="character" w:styleId="Heading8Char" w:customStyle="1">
    <w:name w:val="Heading 8 Char"/>
    <w:link w:val="Heading8"/>
    <w:uiPriority w:val="9"/>
    <w:rPr>
      <w:rFonts w:asciiTheme="majorHAnsi" w:hAnsiTheme="majorHAnsi" w:eastAsiaTheme="majorEastAsia" w:cstheme="majorBidi"/>
      <w:color w:val="404040" w:themeColor="text1" w:themeTint="BF"/>
      <w:sz w:val="20"/>
      <w:szCs w:val="20"/>
    </w:rPr>
  </w:style>
  <w:style w:type="character" w:styleId="Heading9Char" w:customStyle="1">
    <w:name w:val="Heading 9 Char"/>
    <w:link w:val="Heading9"/>
    <w:uiPriority w:val="9"/>
    <w:rPr>
      <w:rFonts w:asciiTheme="majorHAnsi" w:hAnsiTheme="majorHAnsi" w:eastAsiaTheme="majorEastAsia" w:cstheme="majorBidi"/>
      <w:i/>
      <w:iCs/>
      <w:color w:val="404040" w:themeColor="text1" w:themeTint="BF"/>
      <w:sz w:val="20"/>
      <w:szCs w:val="20"/>
    </w:rPr>
  </w:style>
  <w:style w:type="character" w:styleId="TitleChar" w:customStyle="1">
    <w:name w:val="Title Char"/>
    <w:uiPriority w:val="10"/>
    <w:rPr>
      <w:rFonts w:asciiTheme="majorHAnsi" w:hAnsiTheme="majorHAnsi" w:eastAsiaTheme="majorEastAsia" w:cstheme="majorBidi"/>
      <w:color w:val="17365D" w:themeColor="text2" w:themeShade="BF"/>
      <w:spacing w:val="5"/>
      <w:sz w:val="52"/>
      <w:szCs w:val="52"/>
    </w:rPr>
  </w:style>
  <w:style w:type="paragraph" w:styleId="Subtitle">
    <w:name w:val="Subtitle"/>
    <w:link w:val="SubtitleChar"/>
    <w:uiPriority w:val="11"/>
    <w:qFormat/>
    <w:rPr>
      <w:rFonts w:asciiTheme="majorHAnsi" w:hAnsiTheme="majorHAnsi" w:eastAsiaTheme="majorEastAsia" w:cstheme="majorBidi"/>
      <w:i/>
      <w:iCs/>
      <w:color w:val="4F81BD" w:themeColor="accent1"/>
      <w:spacing w:val="15"/>
      <w:sz w:val="24"/>
      <w:szCs w:val="24"/>
    </w:rPr>
  </w:style>
  <w:style w:type="character" w:styleId="SubtitleChar" w:customStyle="1">
    <w:name w:val="Subtitle Char"/>
    <w:link w:val="Subtitle"/>
    <w:uiPriority w:val="11"/>
    <w:rPr>
      <w:rFonts w:asciiTheme="majorHAnsi" w:hAnsiTheme="majorHAnsi" w:eastAsiaTheme="majorEastAsia" w:cstheme="majorBidi"/>
      <w:i/>
      <w:iCs/>
      <w:color w:val="4F81BD" w:themeColor="accent1"/>
      <w:spacing w:val="15"/>
      <w:sz w:val="24"/>
      <w:szCs w:val="24"/>
    </w:rPr>
  </w:style>
  <w:style w:type="character" w:styleId="SubtleEmphasis">
    <w:name w:val="Subtle Emphasis"/>
    <w:uiPriority w:val="19"/>
    <w:qFormat/>
    <w:rPr>
      <w:i/>
      <w:iCs/>
      <w:color w:val="808080" w:themeColor="text1" w:themeTint="7F"/>
    </w:rPr>
  </w:style>
  <w:style w:type="character" w:styleId="Emphasis">
    <w:name w:val="Emphasis"/>
    <w:uiPriority w:val="20"/>
    <w:qFormat/>
    <w:rPr>
      <w:i/>
      <w:iCs/>
    </w:rPr>
  </w:style>
  <w:style w:type="character" w:styleId="IntenseEmphasis">
    <w:name w:val="Intense Emphasis"/>
    <w:uiPriority w:val="21"/>
    <w:qFormat/>
    <w:rPr>
      <w:b/>
      <w:bCs/>
      <w:i/>
      <w:iCs/>
      <w:color w:val="4F81BD" w:themeColor="accent1"/>
    </w:rPr>
  </w:style>
  <w:style w:type="character" w:styleId="Strong">
    <w:name w:val="Strong"/>
    <w:uiPriority w:val="22"/>
    <w:qFormat/>
    <w:rPr>
      <w:b/>
      <w:bCs/>
    </w:rPr>
  </w:style>
  <w:style w:type="paragraph" w:styleId="Quote">
    <w:name w:val="Quote"/>
    <w:link w:val="QuoteChar"/>
    <w:uiPriority w:val="29"/>
    <w:qFormat/>
    <w:rPr>
      <w:i/>
      <w:iCs/>
      <w:color w:val="000000" w:themeColor="text1"/>
    </w:rPr>
  </w:style>
  <w:style w:type="character" w:styleId="QuoteChar" w:customStyle="1">
    <w:name w:val="Quote Char"/>
    <w:link w:val="Quote"/>
    <w:uiPriority w:val="29"/>
    <w:rPr>
      <w:i/>
      <w:iCs/>
      <w:color w:val="000000" w:themeColor="text1"/>
    </w:rPr>
  </w:style>
  <w:style w:type="paragraph" w:styleId="IntenseQuote">
    <w:name w:val="Intense Quote"/>
    <w:link w:val="IntenseQuoteChar"/>
    <w:uiPriority w:val="30"/>
    <w:qFormat/>
    <w:pPr>
      <w:pBdr>
        <w:bottom w:val="single" w:color="4F81BD" w:themeColor="accent1" w:sz="4" w:space="4"/>
      </w:pBdr>
      <w:spacing w:before="200" w:after="280"/>
      <w:ind w:left="936" w:right="936"/>
    </w:pPr>
    <w:rPr>
      <w:b/>
      <w:bCs/>
      <w:i/>
      <w:iCs/>
      <w:color w:val="4F81BD" w:themeColor="accent1"/>
    </w:rPr>
  </w:style>
  <w:style w:type="character" w:styleId="IntenseQuoteChar" w:customStyle="1">
    <w:name w:val="Intense Quote Char"/>
    <w:link w:val="IntenseQuote"/>
    <w:uiPriority w:val="30"/>
    <w:rPr>
      <w:b/>
      <w:bCs/>
      <w:i/>
      <w:iCs/>
      <w:color w:val="4F81BD" w:themeColor="accent1"/>
    </w:rPr>
  </w:style>
  <w:style w:type="character" w:styleId="SubtleReference">
    <w:name w:val="Subtle Reference"/>
    <w:uiPriority w:val="31"/>
    <w:qFormat/>
    <w:rPr>
      <w:smallCaps/>
      <w:color w:val="C0504D" w:themeColor="accent2"/>
      <w:u w:val="single"/>
    </w:rPr>
  </w:style>
  <w:style w:type="character" w:styleId="IntenseReference">
    <w:name w:val="Intense Reference"/>
    <w:uiPriority w:val="32"/>
    <w:qFormat/>
    <w:rPr>
      <w:b/>
      <w:bCs/>
      <w:smallCaps/>
      <w:color w:val="C0504D" w:themeColor="accent2"/>
      <w:spacing w:val="5"/>
      <w:u w:val="single"/>
    </w:rPr>
  </w:style>
  <w:style w:type="character" w:styleId="BookTitle">
    <w:name w:val="Book Title"/>
    <w:uiPriority w:val="33"/>
    <w:qFormat/>
    <w:rPr>
      <w:b/>
      <w:bCs/>
      <w:smallCaps/>
      <w:spacing w:val="5"/>
    </w:rPr>
  </w:style>
  <w:style w:type="paragraph" w:styleId="FootnoteText">
    <w:name w:val="footnote text"/>
    <w:link w:val="FootnoteTextChar"/>
    <w:uiPriority w:val="99"/>
    <w:semiHidden/>
    <w:unhideWhenUsed/>
    <w:rPr>
      <w:sz w:val="20"/>
      <w:szCs w:val="20"/>
    </w:rPr>
  </w:style>
  <w:style w:type="character" w:styleId="FootnoteTextChar" w:customStyle="1">
    <w:name w:val="Footnote Text Char"/>
    <w:link w:val="FootnoteText"/>
    <w:uiPriority w:val="99"/>
    <w:semiHidden/>
    <w:rPr>
      <w:sz w:val="20"/>
      <w:szCs w:val="20"/>
    </w:rPr>
  </w:style>
  <w:style w:type="character" w:styleId="FootnoteReference">
    <w:name w:val="foot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styleId="EndnoteTextChar" w:customStyle="1">
    <w:name w:val="Endnote Text Char"/>
    <w:link w:val="EndnoteText"/>
    <w:uiPriority w:val="99"/>
    <w:semiHidden/>
    <w:rPr>
      <w:sz w:val="20"/>
      <w:szCs w:val="20"/>
    </w:rPr>
  </w:style>
  <w:style w:type="character" w:styleId="EndnoteReference">
    <w:name w:val="endnote reference"/>
    <w:uiPriority w:val="99"/>
    <w:semiHidden/>
    <w:unhideWhenUsed/>
    <w:rPr>
      <w:vertAlign w:val="superscript"/>
    </w:rPr>
  </w:style>
  <w:style w:type="paragraph" w:styleId="PlainText">
    <w:name w:val="Plain Text"/>
    <w:link w:val="PlainTextChar"/>
    <w:uiPriority w:val="99"/>
    <w:semiHidden/>
    <w:unhideWhenUsed/>
    <w:rPr>
      <w:rFonts w:ascii="Courier New" w:hAnsi="Courier New" w:cs="Courier New"/>
      <w:sz w:val="21"/>
      <w:szCs w:val="21"/>
    </w:rPr>
  </w:style>
  <w:style w:type="character" w:styleId="PlainTextChar" w:customStyle="1">
    <w:name w:val="Plain Text Char"/>
    <w:link w:val="PlainText"/>
    <w:uiPriority w:val="99"/>
    <w:rPr>
      <w:rFonts w:ascii="Courier New" w:hAnsi="Courier New" w:cs="Courier New"/>
      <w:sz w:val="21"/>
      <w:szCs w:val="21"/>
    </w:rPr>
  </w:style>
  <w:style w:type="character" w:styleId="HeaderChar" w:customStyle="1">
    <w:name w:val="Header Char"/>
    <w:uiPriority w:val="99"/>
  </w:style>
  <w:style w:type="character" w:styleId="FooterChar" w:customStyle="1">
    <w:name w:val="Footer Char"/>
    <w:uiPriority w:val="99"/>
  </w:style>
  <w:style w:type="paragraph" w:styleId="Caption">
    <w:name w:val="caption"/>
    <w:uiPriority w:val="35"/>
    <w:unhideWhenUsed/>
    <w:qFormat/>
    <w:pPr>
      <w:spacing w:after="200"/>
    </w:pPr>
    <w:rPr>
      <w:i/>
      <w:iCs/>
      <w:color w:val="1F497D" w:themeColor="text2"/>
      <w:sz w:val="18"/>
      <w:szCs w:val="18"/>
    </w:rPr>
  </w:style>
  <w:style w:type="paragraph" w:styleId="BodyText">
    <w:name w:val="Body Text"/>
    <w:basedOn w:val="Normal"/>
    <w:uiPriority w:val="1"/>
    <w:qFormat/>
    <w:rPr>
      <w:rFonts w:ascii="Calibri" w:hAnsi="Calibri"/>
      <w:sz w:val="18"/>
      <w:szCs w:val="18"/>
    </w:rPr>
  </w:style>
  <w:style w:type="paragraph" w:styleId="Title">
    <w:name w:val="Title"/>
    <w:basedOn w:val="Normal"/>
    <w:uiPriority w:val="10"/>
    <w:qFormat/>
    <w:pPr>
      <w:spacing w:before="353"/>
      <w:ind w:left="101"/>
    </w:pPr>
    <w:rPr>
      <w:rFonts w:eastAsia="Lucida Sans" w:cs="Lucida Sans"/>
      <w:color w:val="000000"/>
      <w:spacing w:val="-5"/>
      <w:sz w:val="78"/>
      <w:szCs w:val="78"/>
    </w:rPr>
  </w:style>
  <w:style w:type="paragraph" w:styleId="ListParagraph">
    <w:name w:val="List Paragraph"/>
    <w:basedOn w:val="Normal"/>
    <w:link w:val="ListParagraphChar"/>
    <w:uiPriority w:val="1"/>
    <w:qFormat/>
    <w:pPr>
      <w:numPr>
        <w:numId w:val="9"/>
      </w:numPr>
    </w:pPr>
  </w:style>
  <w:style w:type="paragraph" w:styleId="TableParagraph" w:customStyle="1">
    <w:name w:val="Table Paragraph"/>
    <w:basedOn w:val="Normal"/>
    <w:uiPriority w:val="1"/>
    <w:qFormat/>
  </w:style>
  <w:style w:type="character" w:styleId="Heading2Char1" w:customStyle="1">
    <w:name w:val="Heading 2 Char1"/>
    <w:basedOn w:val="DefaultParagraphFont"/>
    <w:link w:val="Heading2"/>
    <w:uiPriority w:val="9"/>
    <w:rPr>
      <w:rFonts w:ascii="Lucida Sans" w:hAnsi="Lucida Sans" w:eastAsia="Lucida Sans" w:cs="Lucida Sans"/>
      <w:color w:val="000000"/>
      <w:spacing w:val="-7"/>
      <w:sz w:val="32"/>
      <w:szCs w:val="48"/>
      <w:lang w:val="en-NZ"/>
    </w:rPr>
  </w:style>
  <w:style w:type="character" w:styleId="Heading3Char1" w:customStyle="1">
    <w:name w:val="Heading 3 Char1"/>
    <w:basedOn w:val="DefaultParagraphFont"/>
    <w:link w:val="Heading3"/>
    <w:uiPriority w:val="9"/>
    <w:rPr>
      <w:rFonts w:ascii="Lucida Sans" w:hAnsi="Lucida Sans" w:eastAsia="SimSun" w:cs="SimSun"/>
      <w:b/>
      <w:color w:val="000000"/>
      <w:sz w:val="28"/>
      <w:szCs w:val="24"/>
      <w:u w:val="single"/>
      <w:lang w:val="en-NZ"/>
    </w:rPr>
  </w:style>
  <w:style w:type="paragraph" w:styleId="Header">
    <w:name w:val="header"/>
    <w:basedOn w:val="Normal"/>
    <w:link w:val="HeaderChar1"/>
    <w:uiPriority w:val="99"/>
    <w:pPr>
      <w:tabs>
        <w:tab w:val="center" w:pos="4513"/>
        <w:tab w:val="right" w:pos="9026"/>
      </w:tabs>
    </w:pPr>
  </w:style>
  <w:style w:type="character" w:styleId="HeaderChar1" w:customStyle="1">
    <w:name w:val="Header Char1"/>
    <w:basedOn w:val="DefaultParagraphFont"/>
    <w:link w:val="Header"/>
    <w:uiPriority w:val="99"/>
    <w:rPr>
      <w:rFonts w:ascii="Calibri" w:hAnsi="Calibri" w:eastAsia="Palatino Linotype" w:cs="Palatino Linotype"/>
    </w:rPr>
  </w:style>
  <w:style w:type="paragraph" w:styleId="Footer">
    <w:name w:val="footer"/>
    <w:basedOn w:val="Normal"/>
    <w:link w:val="FooterChar1"/>
    <w:uiPriority w:val="99"/>
    <w:pPr>
      <w:tabs>
        <w:tab w:val="center" w:pos="4513"/>
        <w:tab w:val="right" w:pos="9026"/>
      </w:tabs>
    </w:pPr>
  </w:style>
  <w:style w:type="character" w:styleId="FooterChar1" w:customStyle="1">
    <w:name w:val="Footer Char1"/>
    <w:basedOn w:val="DefaultParagraphFont"/>
    <w:link w:val="Footer"/>
    <w:uiPriority w:val="99"/>
    <w:rPr>
      <w:rFonts w:ascii="Calibri" w:hAnsi="Calibri" w:eastAsia="Palatino Linotype" w:cs="Palatino Linotype"/>
    </w:rPr>
  </w:style>
  <w:style w:type="character" w:styleId="Hyperlink">
    <w:name w:val="Hyperlink"/>
    <w:basedOn w:val="DefaultParagraphFont"/>
    <w:uiPriority w:val="99"/>
    <w:rPr>
      <w:color w:val="0000FF"/>
      <w:u w:val="single"/>
    </w:rPr>
  </w:style>
  <w:style w:type="character" w:styleId="UnresolvedMention1" w:customStyle="1">
    <w:name w:val="Unresolved Mention1"/>
    <w:basedOn w:val="DefaultParagraphFont"/>
    <w:uiPriority w:val="99"/>
    <w:rPr>
      <w:color w:val="605E5C"/>
      <w:shd w:val="clear" w:color="auto" w:fill="E1DFDD"/>
    </w:rPr>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uiPriority w:val="99"/>
    <w:rPr>
      <w:sz w:val="20"/>
      <w:szCs w:val="20"/>
    </w:rPr>
  </w:style>
  <w:style w:type="character" w:styleId="CommentTextChar" w:customStyle="1">
    <w:name w:val="Comment Text Char"/>
    <w:basedOn w:val="DefaultParagraphFont"/>
    <w:link w:val="CommentText"/>
    <w:uiPriority w:val="99"/>
    <w:rPr>
      <w:rFonts w:ascii="Calibri" w:hAnsi="Calibri" w:eastAsia="Palatino Linotype" w:cs="Palatino Linotype"/>
      <w:sz w:val="20"/>
      <w:szCs w:val="20"/>
    </w:rPr>
  </w:style>
  <w:style w:type="paragraph" w:styleId="CommentSubject">
    <w:name w:val="annotation subject"/>
    <w:basedOn w:val="CommentText"/>
    <w:next w:val="CommentText"/>
    <w:link w:val="CommentSubjectChar"/>
    <w:uiPriority w:val="99"/>
    <w:rPr>
      <w:b/>
      <w:bCs/>
    </w:rPr>
  </w:style>
  <w:style w:type="character" w:styleId="CommentSubjectChar" w:customStyle="1">
    <w:name w:val="Comment Subject Char"/>
    <w:basedOn w:val="CommentTextChar"/>
    <w:link w:val="CommentSubject"/>
    <w:uiPriority w:val="99"/>
    <w:rPr>
      <w:rFonts w:ascii="Calibri" w:hAnsi="Calibri" w:eastAsia="Palatino Linotype" w:cs="Palatino Linotype"/>
      <w:b/>
      <w:bCs/>
      <w:sz w:val="20"/>
      <w:szCs w:val="20"/>
    </w:rPr>
  </w:style>
  <w:style w:type="paragraph" w:styleId="Numberedlist" w:customStyle="1">
    <w:name w:val="Numbered list"/>
    <w:basedOn w:val="ListParagraph"/>
    <w:link w:val="NumberedlistChar"/>
    <w:uiPriority w:val="99"/>
    <w:qFormat/>
    <w:pPr>
      <w:numPr>
        <w:numId w:val="22"/>
      </w:numPr>
    </w:pPr>
  </w:style>
  <w:style w:type="character" w:styleId="ListParagraphChar" w:customStyle="1">
    <w:name w:val="List Paragraph Char"/>
    <w:basedOn w:val="DefaultParagraphFont"/>
    <w:link w:val="ListParagraph"/>
    <w:uiPriority w:val="1"/>
    <w:rPr>
      <w:rFonts w:ascii="Lucida Sans" w:hAnsi="Lucida Sans" w:eastAsia="Palatino Linotype" w:cs="Palatino Linotype"/>
      <w:sz w:val="25"/>
      <w:lang w:val="en-NZ"/>
    </w:rPr>
  </w:style>
  <w:style w:type="character" w:styleId="NumberedlistChar" w:customStyle="1">
    <w:name w:val="Numbered list Char"/>
    <w:basedOn w:val="ListParagraphChar"/>
    <w:link w:val="Numberedlist"/>
    <w:uiPriority w:val="99"/>
    <w:rPr>
      <w:rFonts w:ascii="Lucida Sans" w:hAnsi="Lucida Sans" w:eastAsia="Palatino Linotype" w:cs="Palatino Linotype"/>
      <w:sz w:val="25"/>
      <w:lang w:val="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image" Target="media/image1.jpeg"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footer" Target="footer2.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Hans" typeface="宋体"/>
        <a:font script="Hant" typeface="新細明體"/>
        <a:font script="Jpan" typeface="ＭＳ ゴシック"/>
      </a:majorFont>
      <a:minorFont>
        <a:latin typeface="Calibri"/>
        <a:ea typeface=""/>
        <a:cs typeface=""/>
        <a:font script="Arab" typeface="Arial"/>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Hans" typeface="宋体"/>
        <a:font script="Hant" typeface="新細明體"/>
        <a:font script="Jpan" typeface="ＭＳ 明朝"/>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Te Akatoki  - Honorarium Policy</dc:title>
  <dc:creator>bridiemorell@outlook.com</dc:creator>
  <lastModifiedBy>Bridie Morell</lastModifiedBy>
  <revision>4</revision>
  <dcterms:created xsi:type="dcterms:W3CDTF">2024-09-06T12:23:00.0000000Z</dcterms:created>
  <dcterms:modified xsi:type="dcterms:W3CDTF">2024-09-14T22:58:32.6939375Z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2023-02-22T00:00:00Z</vt:filetime>
  </property>
  <property fmtid="{D5CDD505-2E9C-101B-9397-08002B2CF9AE}" pid="3" name="Producer">
    <vt:lpwstr>PDFlib 9.3.1 (Python 3.3.0/Linux-x86_64)</vt:lpwstr>
  </property>
  <property fmtid="{D5CDD505-2E9C-101B-9397-08002B2CF9AE}" pid="4" name="LastSaved">
    <vt:filetime>2023-02-22T00:00:00Z</vt:filetime>
  </property>
  <property fmtid="{D5CDD505-2E9C-101B-9397-08002B2CF9AE}" pid="5" name="ICV">
    <vt:lpwstr>225e7881d8fd441fb3541b1912331790</vt:lpwstr>
  </property>
</Properties>
</file>